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06FB91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58C3" w:rsidP="0010095E" w14:paraId="4BBF1C73" w14:textId="77777777">
            <w:pPr>
              <w:pStyle w:val="EPName"/>
            </w:pPr>
            <w:r w:rsidRPr="003E58C3">
              <w:t>Parlament Europejski</w:t>
            </w:r>
          </w:p>
          <w:p w:rsidR="00751A4A" w:rsidRPr="003E58C3" w:rsidP="005F1B17" w14:paraId="7DB34FE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58C3">
              <w:t>2024</w:t>
            </w:r>
            <w:r w:rsidRPr="003E58C3" w:rsidR="00817416">
              <w:t>-202</w:t>
            </w:r>
            <w:r w:rsidRPr="003E58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58C3" w:rsidP="0010095E" w14:paraId="630E235E" w14:textId="77777777">
            <w:pPr>
              <w:pStyle w:val="EPLogo"/>
            </w:pPr>
            <w:r w:rsidRPr="003E58C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58C3" w:rsidP="004C5D52" w14:paraId="491DAA49" w14:textId="77777777">
      <w:pPr>
        <w:pStyle w:val="LineTop"/>
      </w:pPr>
    </w:p>
    <w:p w:rsidR="00680577" w:rsidRPr="003E58C3" w:rsidP="00680577" w14:paraId="121A8C10" w14:textId="77777777">
      <w:pPr>
        <w:pStyle w:val="EPBodyTA1"/>
      </w:pPr>
      <w:r w:rsidRPr="003E58C3">
        <w:t>TEKSTY PRZYJĘTE</w:t>
      </w:r>
    </w:p>
    <w:p w:rsidR="00D058B8" w:rsidRPr="003E58C3" w:rsidP="00D058B8" w14:paraId="1F7BF79D" w14:textId="77777777">
      <w:pPr>
        <w:pStyle w:val="LineBottom"/>
      </w:pPr>
    </w:p>
    <w:p w:rsidR="00A21D19" w:rsidRPr="003E58C3" w:rsidP="00A21D19" w14:paraId="71D7058B" w14:textId="077A368D">
      <w:pPr>
        <w:pStyle w:val="ATHeading1"/>
      </w:pPr>
      <w:bookmarkStart w:id="0" w:name="TANumber"/>
      <w:r w:rsidRPr="003E58C3">
        <w:t>P10_</w:t>
      </w:r>
      <w:r w:rsidRPr="003E58C3">
        <w:t>TA(</w:t>
      </w:r>
      <w:r w:rsidRPr="003E58C3">
        <w:t>2026)0</w:t>
      </w:r>
      <w:bookmarkEnd w:id="0"/>
      <w:r w:rsidR="00A60C60">
        <w:t>229</w:t>
      </w:r>
    </w:p>
    <w:p w:rsidR="00A21D19" w:rsidRPr="005B48E9" w:rsidP="00A21D19" w14:paraId="60FC9896" w14:textId="04655956">
      <w:pPr>
        <w:pStyle w:val="ATHeading2"/>
      </w:pPr>
      <w:r w:rsidRPr="005B48E9">
        <w:rPr>
          <w:bCs/>
        </w:rPr>
        <w:t>Represje polityczne i sytuacja humanitarna na Kubie</w:t>
      </w:r>
    </w:p>
    <w:p w:rsidR="00A21D19" w:rsidRPr="003E58C3" w:rsidP="00A21D19" w14:paraId="55768C55" w14:textId="3FB884AF">
      <w:pPr>
        <w:rPr>
          <w:i/>
          <w:vanish/>
        </w:rPr>
      </w:pPr>
      <w:r>
        <w:rPr>
          <w:i/>
        </w:rPr>
        <w:fldChar w:fldCharType="begin"/>
      </w:r>
      <w:r w:rsidRPr="003E58C3">
        <w:rPr>
          <w:i/>
        </w:rPr>
        <w:instrText xml:space="preserve"> TC"(</w:instrText>
      </w:r>
      <w:bookmarkStart w:id="1" w:name="DocNumber"/>
      <w:r w:rsidRPr="003E58C3">
        <w:rPr>
          <w:i/>
        </w:rPr>
        <w:instrText>B10-0285</w:instrText>
      </w:r>
      <w:r w:rsidR="005B48E9">
        <w:rPr>
          <w:i/>
        </w:rPr>
        <w:instrText>. 0286 oraz 0291</w:instrText>
      </w:r>
      <w:r w:rsidRPr="003E58C3">
        <w:rPr>
          <w:i/>
        </w:rPr>
        <w:instrText>/2026</w:instrText>
      </w:r>
      <w:bookmarkEnd w:id="1"/>
      <w:r w:rsidRPr="003E58C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21D19" w:rsidRPr="003E58C3" w:rsidP="00A21D19" w14:paraId="3FF26A8D" w14:textId="77777777">
      <w:pPr>
        <w:rPr>
          <w:vanish/>
        </w:rPr>
      </w:pPr>
      <w:bookmarkStart w:id="2" w:name="PE"/>
      <w:r w:rsidRPr="003E58C3">
        <w:rPr>
          <w:vanish/>
        </w:rPr>
        <w:t>PE783.341</w:t>
      </w:r>
      <w:bookmarkEnd w:id="2"/>
    </w:p>
    <w:p w:rsidR="00A21D19" w:rsidRPr="003E58C3" w:rsidP="005B48E9" w14:paraId="452F6143" w14:textId="7A8A7BCE">
      <w:pPr>
        <w:pStyle w:val="ATHeading3"/>
      </w:pPr>
      <w:bookmarkStart w:id="3" w:name="Sujet"/>
      <w:r w:rsidRPr="003E58C3">
        <w:t xml:space="preserve">Rezolucja Parlamentu Europejskiego z dnia </w:t>
      </w:r>
      <w:r w:rsidR="005B48E9">
        <w:t>18 czerwca</w:t>
      </w:r>
      <w:r w:rsidRPr="003E58C3">
        <w:t xml:space="preserve"> 2026 r. w sprawie represji politycznych i sytuacji humanitarnej na Kubie</w:t>
      </w:r>
      <w:bookmarkEnd w:id="3"/>
      <w:r w:rsidRPr="003E58C3">
        <w:t xml:space="preserve"> </w:t>
      </w:r>
      <w:bookmarkStart w:id="4" w:name="References"/>
      <w:r w:rsidRPr="003E58C3">
        <w:t>(2026/2735(RSP))</w:t>
      </w:r>
      <w:bookmarkEnd w:id="4"/>
    </w:p>
    <w:p w:rsidR="00104422" w:rsidRPr="003E58C3" w:rsidP="00104422" w14:paraId="0BD5C50B" w14:textId="77777777">
      <w:pPr>
        <w:pStyle w:val="EPComma"/>
      </w:pPr>
      <w:bookmarkStart w:id="5" w:name="TextBodyBegin"/>
      <w:bookmarkEnd w:id="5"/>
      <w:r w:rsidRPr="003E58C3">
        <w:rPr>
          <w:i/>
          <w:iCs/>
        </w:rPr>
        <w:t>Parlament Europejski,</w:t>
      </w:r>
    </w:p>
    <w:p w:rsidR="00104422" w:rsidRPr="003E58C3" w:rsidP="00104422" w14:paraId="22F4E89A" w14:textId="77777777">
      <w:pPr>
        <w:pStyle w:val="NormalHanging12a"/>
      </w:pPr>
      <w:r w:rsidRPr="003E58C3">
        <w:t>–</w:t>
      </w:r>
      <w:r w:rsidRPr="003E58C3">
        <w:tab/>
        <w:t xml:space="preserve">uwzględniając swoje wcześniejsze rezolucje w sprawie sytuacji na Kubie, w szczególności rezolucję z 19 września 2024 r. w sprawie José Daniela Ferrera </w:t>
      </w:r>
      <w:r w:rsidRPr="003E58C3">
        <w:t>Garcíi</w:t>
      </w:r>
      <w:r w:rsidRPr="003E58C3">
        <w:t xml:space="preserve"> na Kubie</w:t>
      </w:r>
      <w:r>
        <w:rPr>
          <w:rStyle w:val="FootnoteReference"/>
        </w:rPr>
        <w:footnoteReference w:id="2"/>
      </w:r>
      <w:r w:rsidRPr="003E58C3">
        <w:t>, rezolucję z 29 lutego 2024 r. w sprawie krytycznej sytuacji na Kubie</w:t>
      </w:r>
      <w:r>
        <w:rPr>
          <w:rStyle w:val="FootnoteReference"/>
        </w:rPr>
        <w:footnoteReference w:id="3"/>
      </w:r>
      <w:r w:rsidRPr="003E58C3">
        <w:t xml:space="preserve"> oraz rezolucję z 12 lipca 2023 r. w sprawie stanu realizacji umowy o dialogu politycznym i współpracy między UE a Kubą w świetle niedawnej wizyty wysokiego przedstawiciela na wyspie</w:t>
      </w:r>
      <w:r>
        <w:rPr>
          <w:rStyle w:val="FootnoteReference"/>
        </w:rPr>
        <w:footnoteReference w:id="4"/>
      </w:r>
      <w:r w:rsidRPr="003E58C3">
        <w:t>,</w:t>
      </w:r>
    </w:p>
    <w:p w:rsidR="00104422" w:rsidRPr="003E58C3" w:rsidP="00104422" w14:paraId="288C18DD" w14:textId="77777777">
      <w:pPr>
        <w:pStyle w:val="NormalHanging12a"/>
      </w:pPr>
      <w:r w:rsidRPr="003E58C3">
        <w:t>–</w:t>
      </w:r>
      <w:r w:rsidRPr="003E58C3">
        <w:tab/>
        <w:t>uwzględniając Umowę o dialogu politycznym i współpracy (PDCA) między Unią Europejską i jej państwami członkowskimi, z jednej strony, a Republiką Kuby, z drugiej strony</w:t>
      </w:r>
      <w:r>
        <w:rPr>
          <w:rStyle w:val="FootnoteReference"/>
        </w:rPr>
        <w:footnoteReference w:id="5"/>
      </w:r>
      <w:r w:rsidRPr="003E58C3">
        <w:t>, podpisaną w grudniu 2016 r., która jest tymczasowo stosowana od 1 listopada 2017 r., w szczególności klauzulę dotyczącą zasadniczych elementów zawartą w art. 1 ust. 5 tej umowy oraz klauzulę zawieszenia przewidzianą w jej art. 85 ust. 3 lit. b),</w:t>
      </w:r>
    </w:p>
    <w:p w:rsidR="00104422" w:rsidRPr="003E58C3" w:rsidP="00104422" w14:paraId="21A2A39D" w14:textId="77777777">
      <w:pPr>
        <w:pStyle w:val="NormalHanging12a"/>
      </w:pPr>
      <w:r w:rsidRPr="003E58C3">
        <w:t>–</w:t>
      </w:r>
      <w:r w:rsidRPr="003E58C3">
        <w:tab/>
        <w:t>uwzględniając zgodę na zawarcie PDCA udzieloną przez Parlament 5 lipca 2017 r., opartą na wymiernej poprawie sytuacji w zakresie praw człowieka i podstawowych wolności na Kubie,</w:t>
      </w:r>
    </w:p>
    <w:p w:rsidR="00104422" w:rsidRPr="003E58C3" w:rsidP="00104422" w14:paraId="776B82E4" w14:textId="77777777">
      <w:pPr>
        <w:pStyle w:val="NormalHanging12a"/>
      </w:pPr>
      <w:r w:rsidRPr="003E58C3">
        <w:t>—</w:t>
      </w:r>
      <w:r w:rsidRPr="003E58C3">
        <w:tab/>
        <w:t xml:space="preserve">uwzględniając globalny system sankcji UE za naruszenia praw człowieka (unijna ustawa </w:t>
      </w:r>
      <w:r w:rsidRPr="003E58C3">
        <w:t>Magnickiego</w:t>
      </w:r>
      <w:r w:rsidRPr="003E58C3">
        <w:t xml:space="preserve">), </w:t>
      </w:r>
    </w:p>
    <w:p w:rsidR="00104422" w:rsidRPr="003E58C3" w:rsidP="00104422" w14:paraId="72896241" w14:textId="77777777">
      <w:pPr>
        <w:pStyle w:val="NormalHanging12a"/>
      </w:pPr>
      <w:r w:rsidRPr="003E58C3">
        <w:t>–</w:t>
      </w:r>
      <w:r w:rsidRPr="003E58C3">
        <w:tab/>
        <w:t>uwzględniając Powszechną deklarację praw człowieka, Międzynarodowy pakt praw obywatelskich i politycznych, Konwencję ONZ w sprawie zakazu stosowania tortur oraz innego okrutnego, nieludzkiego lub poniżającego traktowania albo karania oraz Konwencję ONZ o prawach dziecka, których Kuba jest stroną,</w:t>
      </w:r>
    </w:p>
    <w:p w:rsidR="00104422" w:rsidRPr="003E58C3" w:rsidP="00104422" w14:paraId="1B8B5A84" w14:textId="77777777">
      <w:pPr>
        <w:pStyle w:val="NormalHanging12a"/>
      </w:pPr>
      <w:r w:rsidRPr="003E58C3">
        <w:t>–</w:t>
      </w:r>
      <w:r w:rsidRPr="003E58C3">
        <w:tab/>
        <w:t xml:space="preserve">uwzględniając comiesięczne sprawozdania organizacji pozarządowej </w:t>
      </w:r>
      <w:r w:rsidRPr="003E58C3">
        <w:t>Prisoners</w:t>
      </w:r>
      <w:r w:rsidRPr="003E58C3">
        <w:t xml:space="preserve"> </w:t>
      </w:r>
      <w:r w:rsidRPr="003E58C3">
        <w:t>Defenders</w:t>
      </w:r>
      <w:r w:rsidRPr="003E58C3">
        <w:t xml:space="preserve">, w szczególności sprawozdanie z </w:t>
      </w:r>
      <w:r w:rsidRPr="003E58C3">
        <w:t>maja</w:t>
      </w:r>
      <w:r w:rsidRPr="003E58C3">
        <w:t xml:space="preserve"> 2026 r., opublikowane 11 czerwca 2026 r., dotyczące tortur, strukturalnego naruszania prawa do rzetelnego procesu, środków zapobiegających popełnieniu przestępstwa „społecznego niebezpieczeństwa”, nadzoru cyfrowego i pozbawiania żywności kubańskich więźniów,</w:t>
      </w:r>
    </w:p>
    <w:p w:rsidR="00104422" w:rsidRPr="003E58C3" w:rsidP="00104422" w14:paraId="4C1C3A04" w14:textId="77777777">
      <w:pPr>
        <w:pStyle w:val="NormalHanging12a"/>
      </w:pPr>
      <w:r w:rsidRPr="003E58C3">
        <w:t>–</w:t>
      </w:r>
      <w:r w:rsidRPr="003E58C3">
        <w:tab/>
        <w:t xml:space="preserve">uwzględniając wspólne wysłuchanie Komisji Spraw Zagranicznych i Podkomisji Praw Człowieka w sprawie sytuacji na Kubie, które odbyło się 5 maja 2026 r., oraz zeznania przedstawione przez sprawozdawcę ds. Kuby </w:t>
      </w:r>
      <w:r w:rsidRPr="003E58C3">
        <w:t>Międzyamerykańskiej</w:t>
      </w:r>
      <w:r w:rsidRPr="003E58C3">
        <w:t xml:space="preserve"> Komisji Praw Człowieka (IACHR) </w:t>
      </w:r>
      <w:r w:rsidRPr="003E58C3">
        <w:t>Stuarda</w:t>
      </w:r>
      <w:r w:rsidRPr="003E58C3">
        <w:t xml:space="preserve"> </w:t>
      </w:r>
      <w:r w:rsidRPr="003E58C3">
        <w:t>Ralóna</w:t>
      </w:r>
      <w:r w:rsidRPr="003E58C3">
        <w:t xml:space="preserve"> </w:t>
      </w:r>
      <w:r w:rsidRPr="003E58C3">
        <w:t>Orellanę</w:t>
      </w:r>
      <w:r w:rsidRPr="003E58C3">
        <w:t xml:space="preserve"> oraz lidera kubańskiej opozycji i byłego więźnia politycznego José Daniela Ferrera,</w:t>
      </w:r>
    </w:p>
    <w:p w:rsidR="00104422" w:rsidRPr="003E58C3" w:rsidP="00104422" w14:paraId="71EA90E7" w14:textId="77777777">
      <w:pPr>
        <w:pStyle w:val="NormalHanging12a"/>
      </w:pPr>
      <w:r w:rsidRPr="003E58C3">
        <w:t>–</w:t>
      </w:r>
      <w:r w:rsidRPr="003E58C3">
        <w:tab/>
        <w:t xml:space="preserve">uwzględniając przemówienia wygłoszone przez wiceprzewodniczącą Komisji / wysoką przedstawicielkę Unii do spraw zagranicznych i polityki bezpieczeństwa Kaję </w:t>
      </w:r>
      <w:r w:rsidRPr="003E58C3">
        <w:t>Kallas</w:t>
      </w:r>
      <w:r w:rsidRPr="003E58C3">
        <w:t xml:space="preserve"> na posiedzeniu plenarnym Parlamentu, w szczególności przemówienie z 6 maja 2025 r. oraz przemówienie z 19 maja 2026 r., a także rundy dialogu na temat praw człowieka prowadzonego między UE a Kubą,</w:t>
      </w:r>
    </w:p>
    <w:p w:rsidR="00104422" w:rsidRPr="003E58C3" w:rsidP="00104422" w14:paraId="4EC5EBDF" w14:textId="77777777">
      <w:pPr>
        <w:pStyle w:val="NormalHanging12a"/>
      </w:pPr>
      <w:r w:rsidRPr="003E58C3">
        <w:t>–</w:t>
      </w:r>
      <w:r w:rsidRPr="003E58C3">
        <w:tab/>
        <w:t>uwzględniając oświadczenia IACHR w sprawie Kuby z 25 marca 2026 r.,</w:t>
      </w:r>
    </w:p>
    <w:p w:rsidR="00104422" w:rsidRPr="003E58C3" w:rsidP="00104422" w14:paraId="19F6B0E4" w14:textId="77777777">
      <w:pPr>
        <w:pStyle w:val="NormalHanging12a"/>
      </w:pPr>
      <w:r w:rsidRPr="003E58C3">
        <w:t>–</w:t>
      </w:r>
      <w:r w:rsidRPr="003E58C3">
        <w:tab/>
        <w:t xml:space="preserve">uwzględniając „porozumienie o wolności” (porozumienie o wyzwoleniu) podpisane 2 marca 2026 r. w Miami przez kubańskie koalicje opozycyjne </w:t>
      </w:r>
      <w:r w:rsidRPr="003E58C3">
        <w:t>Pasos</w:t>
      </w:r>
      <w:r w:rsidRPr="003E58C3">
        <w:t xml:space="preserve"> de </w:t>
      </w:r>
      <w:r w:rsidRPr="003E58C3">
        <w:t>Cambio</w:t>
      </w:r>
      <w:r w:rsidRPr="003E58C3">
        <w:t xml:space="preserve"> i </w:t>
      </w:r>
      <w:r w:rsidRPr="003E58C3">
        <w:t>Asamblea</w:t>
      </w:r>
      <w:r w:rsidRPr="003E58C3">
        <w:t xml:space="preserve"> de la </w:t>
      </w:r>
      <w:r w:rsidRPr="003E58C3">
        <w:t>Resistencia</w:t>
      </w:r>
      <w:r w:rsidRPr="003E58C3">
        <w:t xml:space="preserve"> </w:t>
      </w:r>
      <w:r w:rsidRPr="003E58C3">
        <w:t>Cubana</w:t>
      </w:r>
      <w:r w:rsidRPr="003E58C3">
        <w:t xml:space="preserve"> (ARC, Zgromadzenie Kubańskiego Ruchu Oporu),</w:t>
      </w:r>
    </w:p>
    <w:p w:rsidR="00104422" w:rsidRPr="003E58C3" w:rsidP="00104422" w14:paraId="27ECDD5E" w14:textId="77777777">
      <w:pPr>
        <w:pStyle w:val="NormalHanging12a"/>
        <w:rPr>
          <w:rStyle w:val="doceo-font-family-base"/>
          <w:color w:val="000000"/>
        </w:rPr>
      </w:pPr>
      <w:r w:rsidRPr="003E58C3">
        <w:rPr>
          <w:rStyle w:val="doceo-font-family-base"/>
          <w:color w:val="000000"/>
        </w:rPr>
        <w:t>–</w:t>
      </w:r>
      <w:r w:rsidRPr="003E58C3">
        <w:rPr>
          <w:rStyle w:val="doceo-font-family-base"/>
          <w:color w:val="000000"/>
        </w:rPr>
        <w:tab/>
        <w:t xml:space="preserve">uwzględniając sprawozdanie </w:t>
      </w:r>
      <w:r w:rsidRPr="003E58C3">
        <w:rPr>
          <w:rStyle w:val="doceo-font-family-base"/>
          <w:color w:val="000000"/>
        </w:rPr>
        <w:t>Międzyamerykańskiej</w:t>
      </w:r>
      <w:r w:rsidRPr="003E58C3">
        <w:rPr>
          <w:rStyle w:val="doceo-font-family-base"/>
          <w:color w:val="000000"/>
        </w:rPr>
        <w:t xml:space="preserve"> Komisji Praw Człowieka z 12 czerwca 2023 r. w sprawie obrońców praw Oswalda </w:t>
      </w:r>
      <w:r w:rsidRPr="003E58C3">
        <w:rPr>
          <w:rStyle w:val="doceo-font-family-base"/>
          <w:color w:val="000000"/>
        </w:rPr>
        <w:t>Payi</w:t>
      </w:r>
      <w:r w:rsidRPr="003E58C3">
        <w:rPr>
          <w:rStyle w:val="doceo-font-family-base"/>
          <w:color w:val="000000"/>
        </w:rPr>
        <w:t xml:space="preserve"> i Harolda </w:t>
      </w:r>
      <w:r w:rsidRPr="003E58C3">
        <w:rPr>
          <w:rStyle w:val="doceo-font-family-base"/>
          <w:color w:val="000000"/>
        </w:rPr>
        <w:t>Cepero</w:t>
      </w:r>
      <w:r w:rsidRPr="003E58C3">
        <w:rPr>
          <w:rStyle w:val="doceo-font-family-base"/>
          <w:color w:val="000000"/>
        </w:rPr>
        <w:t xml:space="preserve"> na Kubie,</w:t>
      </w:r>
    </w:p>
    <w:p w:rsidR="00104422" w:rsidRPr="003E58C3" w:rsidP="00104422" w14:paraId="44F51E03" w14:textId="77777777">
      <w:pPr>
        <w:pStyle w:val="NormalHanging12a"/>
        <w:rPr>
          <w:rStyle w:val="doceo-font-family-base"/>
          <w:color w:val="000000"/>
        </w:rPr>
      </w:pPr>
      <w:r w:rsidRPr="003E58C3">
        <w:rPr>
          <w:rStyle w:val="doceo-font-family-base"/>
          <w:color w:val="000000"/>
        </w:rPr>
        <w:t>–</w:t>
      </w:r>
      <w:r w:rsidRPr="003E58C3">
        <w:rPr>
          <w:rStyle w:val="doceo-font-family-base"/>
          <w:color w:val="000000"/>
        </w:rPr>
        <w:tab/>
        <w:t xml:space="preserve">uwzględniając akt oskarżenia otwarty 20 maja 2026 r. w Sądzie Okręgowym Stanów Zjednoczonych dla Południowego Dystryktu Florydy, w którym postawiono </w:t>
      </w:r>
      <w:r w:rsidRPr="003E58C3">
        <w:rPr>
          <w:rStyle w:val="doceo-font-family-base"/>
          <w:color w:val="000000"/>
        </w:rPr>
        <w:t>Raúlowi</w:t>
      </w:r>
      <w:r w:rsidRPr="003E58C3">
        <w:rPr>
          <w:rStyle w:val="doceo-font-family-base"/>
          <w:color w:val="000000"/>
        </w:rPr>
        <w:t xml:space="preserve"> Castro i pięciu innym urzędnikom zarzut zestrzelenia w 1996 r. dwóch cywilnych statków powietrznych należących do organizacji </w:t>
      </w:r>
      <w:r w:rsidRPr="003E58C3">
        <w:rPr>
          <w:rStyle w:val="doceo-font-family-base"/>
          <w:color w:val="000000"/>
        </w:rPr>
        <w:t>Brothers</w:t>
      </w:r>
      <w:r w:rsidRPr="003E58C3">
        <w:rPr>
          <w:rStyle w:val="doceo-font-family-base"/>
          <w:color w:val="000000"/>
        </w:rPr>
        <w:t xml:space="preserve"> to the </w:t>
      </w:r>
      <w:r w:rsidRPr="003E58C3">
        <w:rPr>
          <w:rStyle w:val="doceo-font-family-base"/>
          <w:color w:val="000000"/>
        </w:rPr>
        <w:t>Rescue</w:t>
      </w:r>
      <w:r w:rsidRPr="003E58C3">
        <w:rPr>
          <w:rStyle w:val="doceo-font-family-base"/>
          <w:color w:val="000000"/>
        </w:rPr>
        <w:t>,</w:t>
      </w:r>
    </w:p>
    <w:p w:rsidR="00104422" w:rsidRPr="003E58C3" w:rsidP="00104422" w14:paraId="0A8D4225" w14:textId="77777777">
      <w:pPr>
        <w:pStyle w:val="NormalHanging12a"/>
      </w:pPr>
      <w:r w:rsidRPr="003E58C3">
        <w:t>–</w:t>
      </w:r>
      <w:r w:rsidRPr="003E58C3">
        <w:tab/>
        <w:t>uwzględniając art. 136 ust. 2 i 4 Regulaminu,</w:t>
      </w:r>
    </w:p>
    <w:p w:rsidR="00104422" w:rsidRPr="003E58C3" w:rsidP="00104422" w14:paraId="682F2BE1" w14:textId="77777777">
      <w:pPr>
        <w:pStyle w:val="NormalHanging12a"/>
      </w:pPr>
      <w:r w:rsidRPr="003E58C3">
        <w:t>A.</w:t>
      </w:r>
      <w:r w:rsidRPr="003E58C3">
        <w:tab/>
        <w:t>mając na uwadze, że ponad pięćdziesiąt lat politycznych i gospodarczych wyborów dokonanych przez kubański reżim komunistyczny doprowadziło kraj do głębokiego kryzysu, charakteryzującego się przerwami w dostawach prądu trwającymi do 22 godzin dziennie, poważnymi niedoborami żywności, wody, paliwa i leków oraz powszechnym ubóstwem, w warunkach ugruntowanego konstytucyjnie reżimu jednopartyjnego, który trwa od ponad 67 lat i w którym partia komunistyczna jest jedyną dozwoloną siłą polityczną; mając na uwadze, że to załamanie się modelu politycznego i gospodarczego opartego na paraliżu, represjach i oporze wobec zmian, spotęgowane brakiem wolnych, uczciwych i konkurencyjnych wyborów oraz zakazem pluralizmu politycznego, coraz bardziej przybliża Kubę do państwa upadłego i stanowi antydemokratyczną anomalię w regionie;</w:t>
      </w:r>
    </w:p>
    <w:p w:rsidR="00104422" w:rsidRPr="003E58C3" w:rsidP="00104422" w14:paraId="74B3378B" w14:textId="77777777">
      <w:pPr>
        <w:pStyle w:val="NormalHanging12a"/>
      </w:pPr>
      <w:r w:rsidRPr="003E58C3">
        <w:t>B.</w:t>
      </w:r>
      <w:r w:rsidRPr="003E58C3">
        <w:tab/>
        <w:t xml:space="preserve">mając na uwadze, że według organizacji pozarządowej </w:t>
      </w:r>
      <w:r w:rsidRPr="003E58C3">
        <w:t>Prisoners</w:t>
      </w:r>
      <w:r w:rsidRPr="003E58C3">
        <w:t xml:space="preserve"> </w:t>
      </w:r>
      <w:r w:rsidRPr="003E58C3">
        <w:t>Defenders</w:t>
      </w:r>
      <w:r w:rsidRPr="003E58C3">
        <w:t xml:space="preserve"> pod koniec maja 2026 r. Kuba przetrzymywała rekordową liczbę 1281 więźniów politycznych, w tym małoletnich – niektórych przetrzymywanych w więzieniach o najwyższym poziomie bezpieczeństwa wraz z dorosłymi – oraz wielu zatrzymanych w bardzo złym stanie zdrowia, w tym sportowców, artystów, niezależnych dziennikarzy i pokojowych </w:t>
      </w:r>
      <w:r w:rsidRPr="003E58C3">
        <w:t>działaczy; mając na uwadze, że organizacja ta dokumentuje systematyczne tortury, przemoc seksualną i groźby śmierci wobec zatrzymanych oraz stwierdziła w statystycznie reprezentatywnym badaniu, że wszyscy więźniowe polityczni będący przedmiotem badania, w tym małoletni, byli poddawani torturom i odmówiono im opieki medycznej w warunkach powtarzających się schematów arbitralnych zatrzymań bez prawa kontaktu, wymuszonych tymczasowych zaginięć i nękania rodzin; mając na uwadze, że sprawa José Daniela Ferrera, założyciela Kubańskiego Związku Patriotycznego i więźnia sumienia, o którego uwolnienie Parlament wielokrotnie apelował, jest symbolem metod stosowanych przez reżim i doprowadziła do jego przymusowego wygnania w październiku 2025 r.;</w:t>
      </w:r>
    </w:p>
    <w:p w:rsidR="00104422" w:rsidRPr="003E58C3" w:rsidP="00104422" w14:paraId="1A66C36A" w14:textId="77777777">
      <w:pPr>
        <w:pStyle w:val="NormalHanging12a"/>
      </w:pPr>
      <w:r w:rsidRPr="003E58C3">
        <w:t>C.</w:t>
      </w:r>
      <w:r w:rsidRPr="003E58C3">
        <w:tab/>
        <w:t>mając na uwadze, że na co dzień zwykli Kubańczycy muszą korzystać ze szpitali, które nie są w stanie normalnie działać, w których nie ma podstawowych leków, a pacjenci muszą przynosić własne zaopatrzenie, a także zmagają się z chronicznymi niedoborami żywności, wody i podstawowych towarów, sprzedawanych wyłącznie w sklepach walutowych, będących poza zasięgiem osób otrzymujących zwykłe państwowe wynagrodzenie; mając na uwadze, że według kubańskiego Obserwatorium Praw Człowieka 89 % rodzin żyje w skrajnym ubóstwie, a 7 na 10 Kubańczyków musi rezygnować z części posiłków, podczas gdy według ONZ zaległych jest 96 tys. operacji, w tym 11 tys. operacji dzieci, a około milion osób jest uzależnionych od transportu wody, który jest ograniczony ze względu na niedobory oleju napędowego;</w:t>
      </w:r>
    </w:p>
    <w:p w:rsidR="00104422" w:rsidRPr="003E58C3" w:rsidP="00104422" w14:paraId="73636CFB" w14:textId="77777777">
      <w:pPr>
        <w:pStyle w:val="NormalHanging12a"/>
      </w:pPr>
      <w:r w:rsidRPr="003E58C3">
        <w:t>D.</w:t>
      </w:r>
      <w:r w:rsidRPr="003E58C3">
        <w:tab/>
        <w:t>mając na uwadze, że w kwietniu 2026 r. UE udostępniła dodatkowe 2 mln EUR na pomoc humanitarną, oprócz 4 mln EUR już przyznanych w tym roku dla regionu Karaibów, aby wesprzeć partnerów humanitarnych udzielających pilnej pomocy osobom znajdującym się w najtrudniejszej sytuacji; mając na uwadze, że zaktualizowany plan działania ONZ dla Kuby, mający na celu udzielenie pomocy około dwóm milionom osób, jest nadal poważnie niedofinansowany – ONZ uruchomiła 26,2 mln USD, jednak wciąż brakuje kwoty 68 mln USD;</w:t>
      </w:r>
    </w:p>
    <w:p w:rsidR="00104422" w:rsidRPr="003E58C3" w:rsidP="00104422" w14:paraId="4858D138" w14:textId="77777777">
      <w:pPr>
        <w:pStyle w:val="NormalHanging12a"/>
      </w:pPr>
      <w:r w:rsidRPr="003E58C3">
        <w:t>E.</w:t>
      </w:r>
      <w:r w:rsidRPr="003E58C3">
        <w:tab/>
        <w:t>mając na uwadze, że skumulowana inflacja na Kubie w ciągu ostatnich czterech lat przekracza 500 %, podczas gdy wynagrodzenia państwowe wynoszą od 15 do 25 USD miesięcznie według kursu czarnorynkowego będącego jedynym realistycznym przelicznikiem w tym kraju; mając na uwadze, że reżim uzależnił kraj od importowanego paliwa, a ponieważ tradycyjni dostawcy – Rosja i Wenezuela – ograniczyli dostawy, kryzys energetyczny pogłębił się, co doprowadziło do całkowitego załamania krajowego systemu elektroenergetycznego przez kilka dni w październiku 2024 r., pozostawiając 11 mln osób bez prądu;</w:t>
      </w:r>
    </w:p>
    <w:p w:rsidR="00104422" w:rsidRPr="003E58C3" w:rsidP="00104422" w14:paraId="125F2AE3" w14:textId="77777777">
      <w:pPr>
        <w:pStyle w:val="NormalHanging12a"/>
      </w:pPr>
      <w:r w:rsidRPr="003E58C3">
        <w:t>F.</w:t>
      </w:r>
      <w:r w:rsidRPr="003E58C3">
        <w:tab/>
        <w:t>mając na uwadze, że Kuba importuje obecnie ponad 70 % spożywanej żywności – w żyznym kraju tropikalnym, który był kiedyś jednym z największych producentów cukru na świecie – a upadek ten jest bezpośrednim skutkiem dziesięcioleci kolektywizacji, kontroli państwa i militaryzacji rolnictwa oraz bezproduktywnego modelu gospodarczego;</w:t>
      </w:r>
    </w:p>
    <w:p w:rsidR="00104422" w:rsidRPr="003E58C3" w:rsidP="00104422" w14:paraId="67FCFC43" w14:textId="77777777">
      <w:pPr>
        <w:pStyle w:val="NormalHanging12a"/>
      </w:pPr>
      <w:r w:rsidRPr="003E58C3">
        <w:t>G.</w:t>
      </w:r>
      <w:r w:rsidRPr="003E58C3">
        <w:tab/>
        <w:t xml:space="preserve">mając na uwadze, że kryzys humanitarny nie jest wynikiem zewnętrznego embarga, lecz bezpośrednią konsekwencją własnego modelu reżimu i jego porażek, a mianowicie militaryzacji i państwowej monopolizacji gospodarki, tłumienia prywatnej przedsiębiorczości oraz przekierowywania zasobów do aparatu bezpieczeństwa zamiast przeznaczania ich na żywność, leki i energię elektryczną, których potrzebuje ludność; mając na uwadze, że model ten ucieleśnia skorumpowany konglomerat wojskowy </w:t>
      </w:r>
      <w:r w:rsidRPr="003E58C3">
        <w:t>GAESA, który kontroluje blisko połowę gospodarki wyspy, nie odpowiada przed nikim i zatrzymuje dochody reżimu w twardej walucie – w tym z misji medycznych, które ONZ porównała do pracy przymusowej – nawet jeśli szpitale pozostają bez podstawowego zaopatrzenia; mając na uwadze, że kryzysu tego nie można oddzielić od dekad represji ze strony państwa, a dalsza niestabilność grozi poważnymi konsekwencjami humanitarnymi i migracyjnymi oraz skutkami dla bezpieczeństwa;</w:t>
      </w:r>
    </w:p>
    <w:p w:rsidR="00104422" w:rsidRPr="003E58C3" w:rsidP="00104422" w14:paraId="6F668036" w14:textId="77777777">
      <w:pPr>
        <w:pStyle w:val="NormalHanging12a"/>
      </w:pPr>
      <w:r w:rsidRPr="003E58C3">
        <w:t>H.</w:t>
      </w:r>
      <w:r w:rsidRPr="003E58C3">
        <w:tab/>
        <w:t>mając na uwadze, że stosunki między UE a Kubą reguluje PDCA, której deklarowanym celem było stopniowe otwieranie się reżimu i poprawa sytuacji jego obywateli; mając na uwadze, że prawie dziewięć lat po wyrażeniu przez Parlament zgody na PDCA reżim nie dokonał żadnego znaczącego otwarcia, a wręcz przeciwnie – zintensyfikował represje, prześladował dysydentów i zwiększył liczbę więźniów politycznych, podczas gdy sytuacja gospodarcza pogorszyła się do niedopuszczalnego poziomu; mając na uwadze, że umowa nie spełniła swojego podstawowego celu, a wiceprzewodnicząca Komisji / wysoka przedstawicielka Unii do spraw zagranicznych i polityki bezpieczeństwa przyznała, że umowa nie osiągnęła wyznaczonych celów i jest obecnie przedmiotem przeglądu;</w:t>
      </w:r>
    </w:p>
    <w:p w:rsidR="00104422" w:rsidRPr="003E58C3" w:rsidP="00104422" w14:paraId="4A518AB5" w14:textId="77777777">
      <w:pPr>
        <w:pStyle w:val="NormalHanging12a"/>
      </w:pPr>
      <w:r w:rsidRPr="003E58C3">
        <w:t>I.</w:t>
      </w:r>
      <w:r w:rsidRPr="003E58C3">
        <w:tab/>
        <w:t>mając na uwadze, że sprzeciw wobec reżimu jest powszechny zarówno na wyspie, jak i poza nią – o czym świadczą powtarzające się demonstracje i protesty polegające na „biciu w garnki” ((</w:t>
      </w:r>
      <w:r w:rsidRPr="003E58C3">
        <w:rPr>
          <w:i/>
        </w:rPr>
        <w:t>cacerolazo</w:t>
      </w:r>
      <w:r w:rsidRPr="003E58C3">
        <w:t>), a także największa fala emigracji w historii Kuby, w ramach której setki tysięcy osób opuściło kraj w poszukiwaniu lepszej przyszłości – przy czym wielu z tych, którzy uciekli lub zostali zmuszeni do wyjazdu, nie ma możliwości powrotu i pozostaje na wygnaniu; mając na uwadze, że jedyną odpowiedzią reżimu na żądania zmian jest umacnianie swojej władzy i nasilanie represji;</w:t>
      </w:r>
    </w:p>
    <w:p w:rsidR="00104422" w:rsidRPr="003E58C3" w:rsidP="00104422" w14:paraId="35431B98" w14:textId="77777777">
      <w:pPr>
        <w:pStyle w:val="NormalHanging12a"/>
        <w:rPr>
          <w:bCs/>
        </w:rPr>
      </w:pPr>
      <w:r w:rsidRPr="003E58C3">
        <w:t>J.</w:t>
      </w:r>
      <w:r w:rsidRPr="003E58C3">
        <w:tab/>
        <w:t>mając na uwadze, że brutalne i nieustające represje są jedynym mechanizmem, który pozwala reżimowi przetrwać; mając na uwadze, że w lipcu 2021 r. tysiące osób spontanicznie wyszło na ulice w ponad pięćdziesięciu miejscowościach, wznosząc okrzyki „Wolność!”; była to największa fala protestów od 1994 r. i została ona stłumiona przez nieumundurowanych policjantów, bojówki paramilitarne i komitety obrony rewolucji; mając na uwadze, że setki osób zostało arbitralnie zatrzymanych, a ponad 700 osób osądzono w procesach doraźnych, potępionych przez Parlament jako „farsa wymiaru sprawiedliwości”, i skazanych na kary do 25 lat pozbawienia wolności za pokojowe protesty, co może stanowić zbrodnię przeciwko ludzkości; mając na uwadze, że towarzyszący temu przekaz miał być celowo odstraszający: każdy, kto wychodzi protestować, może stracić pracę, wolność, rodzinę, a nawet życie.</w:t>
      </w:r>
    </w:p>
    <w:p w:rsidR="00104422" w:rsidRPr="003E58C3" w:rsidP="00104422" w14:paraId="6A8667E3" w14:textId="77777777">
      <w:pPr>
        <w:pStyle w:val="NormalHanging12a"/>
      </w:pPr>
      <w:r w:rsidRPr="003E58C3">
        <w:t>K.</w:t>
      </w:r>
      <w:r w:rsidRPr="003E58C3">
        <w:tab/>
        <w:t>mając na uwadze, że reżim uporczywie odmawia wjazdu delegacjom Parlamentu Europejskiego, specjalnym sprawozdawcom ONZ oraz niezależnym obserwatorom, a także nalega na wykluczenie demokratycznej opozycji i niezależnego społeczeństwa obywatelskiego z wszelkiego dialogu politycznego;</w:t>
      </w:r>
    </w:p>
    <w:p w:rsidR="00104422" w:rsidRPr="003E58C3" w:rsidP="00104422" w14:paraId="414C6F38" w14:textId="77777777">
      <w:pPr>
        <w:pStyle w:val="NormalHanging12a"/>
      </w:pPr>
      <w:r w:rsidRPr="003E58C3">
        <w:t>L.</w:t>
      </w:r>
      <w:r w:rsidRPr="003E58C3">
        <w:tab/>
        <w:t>mając na uwadze, że w ostatnich miesiącach odbyły się rozmowy między reżimem a administracją Stanów Zjednoczonych, których treść pozostaje nieujawniona, a reżim potwierdził prowadzenie negocjacji z Waszyngtonem; mając na uwadze, że Stany Zjednoczone nałożyły ukierunkowane sankcje na wysokich rangą przedstawicieli reżimu oraz instytucje jego aparatu bezpieczeństwa i wojskowego, powołując się na represje reżimu w kraju oraz wrogie działania za granicą; mając na uwadze, że żaden proces normalizacji stosunków nie może odbywać się kosztem praw człowieka ani zwalniać reżimu z odpowiedzialności;</w:t>
      </w:r>
    </w:p>
    <w:p w:rsidR="00104422" w:rsidRPr="003E58C3" w:rsidP="00104422" w14:paraId="2C538592" w14:textId="77777777">
      <w:pPr>
        <w:pStyle w:val="NormalHanging12a"/>
      </w:pPr>
      <w:r w:rsidRPr="003E58C3">
        <w:t>M.</w:t>
      </w:r>
      <w:r w:rsidRPr="003E58C3">
        <w:tab/>
        <w:t>mając na uwadze, że reżim utrzymuje ścisłą współpracę wojskową z Federacją Rosyjską, między innymi rzekomo zwerbował tysiące obywateli Kuby do walki w rosyjskiej wojnie napastniczej przeciwko Ukrainie, co jest niezgodne z duchem PDCA i sprzeczne z interesami bezpieczeństwa UE; mając na uwadze, że pod koniec marca 2026 r. rosyjski tankowiec przewożący około 730 000 baryłek ropy dostał zezwolenie na zacumowanie na północnym wybrzeżu Kuby;</w:t>
      </w:r>
    </w:p>
    <w:p w:rsidR="00104422" w:rsidRPr="003E58C3" w:rsidP="00104422" w14:paraId="1B37FDCB" w14:textId="77777777">
      <w:pPr>
        <w:pStyle w:val="NormalHanging12a"/>
      </w:pPr>
      <w:r w:rsidRPr="003E58C3">
        <w:t>N.</w:t>
      </w:r>
      <w:r w:rsidRPr="003E58C3">
        <w:tab/>
        <w:t>mając na uwadze, że 2 marca 2026 r. ponad 50 kubańskich organizacji opozycyjnych i organizacji społeczeństwa obywatelskiego, na wyspie i na uchodźstwie, przedstawiło plan działania na rzecz transformacji demokratycznej, znany jako „porozumienie na rzecz wyzwolenia” lub „porozumienie na rzecz wolności”, w którym określono trzy etapy: wyzwolenie, stabilizację i odbudowę oraz demokratyzację, i który ma doprowadzić do wolnych i uczciwych wyborów wielopartyjnych pod kontrolą społeczności międzynarodowej; mając na uwadze, że wszelkie przemiany muszą być prowadzone przez Kubańczyków i muszą obejmować wszystkich Kubańczyków, na wyspie, jak i w diasporze;</w:t>
      </w:r>
    </w:p>
    <w:p w:rsidR="00104422" w:rsidRPr="003E58C3" w:rsidP="00104422" w14:paraId="4E1020B9" w14:textId="77777777">
      <w:pPr>
        <w:pStyle w:val="NormalHanging12a"/>
        <w:rPr>
          <w:bCs/>
          <w:iCs/>
        </w:rPr>
      </w:pPr>
      <w:r w:rsidRPr="003E58C3">
        <w:t>1.</w:t>
      </w:r>
      <w:r w:rsidRPr="003E58C3">
        <w:tab/>
        <w:t>w najostrzejszych słowach potępia systematyczne represje stosowane przez reżim kubański – w szczególności tortury, przemoc seksualną, groźby śmierci, przymusowe niedożywienie, masową inwigilację, pracę przymusową i prześladowania sądowe więźniów politycznych, demonstrantów, dysydentów, studentów, przywódców religijnych i obrońców praw człowieka – oraz więzienie dzieci; wyraża pełną solidarność z narodem kubańskim oraz ze wszystkimi osobami prześladowanymi za obronę swoich podstawowych praw, w tym z przywódcami dawnej i powstającej opozycji demokratycznej oraz niezależnych ruchów obywatelskich;</w:t>
      </w:r>
    </w:p>
    <w:p w:rsidR="00104422" w:rsidRPr="003E58C3" w:rsidP="00104422" w14:paraId="5BC43A17" w14:textId="77777777">
      <w:pPr>
        <w:pStyle w:val="NormalHanging12a"/>
        <w:rPr>
          <w:bCs/>
          <w:iCs/>
        </w:rPr>
      </w:pPr>
      <w:r w:rsidRPr="003E58C3">
        <w:t>2.</w:t>
      </w:r>
      <w:r w:rsidRPr="003E58C3">
        <w:tab/>
        <w:t>domaga się natychmiastowego i bezwarunkowego uwolnienia wszystkich więźniów politycznych i wszystkich osób arbitralnie przetrzymywanych za korzystanie z przysługujących im praw podstawowych, w tym małoletnich, zaprzestania tortur i złego traktowania, natychmiastowego dostępu do wolnych i uczciwych procesów sądowych oraz opieki medycznej dla osób poważnie chorych, a także pełnego zadośćuczynienia ofiarom tortur; domaga się, by reżim zapewnił Międzynarodowemu Komitetowi Czerwonego Krzyża, specjalnym sprawozdawcom ONZ oraz delegacji Parlamentu Europejskiego i niezależnym obserwatorom nieograniczony dostęp do wszystkich miejsc przetrzymywania, i ubolewa nad wielokrotną odmową spełnienia tego żądania;</w:t>
      </w:r>
    </w:p>
    <w:p w:rsidR="00104422" w:rsidRPr="003E58C3" w:rsidP="00104422" w14:paraId="11F558E1" w14:textId="77777777">
      <w:pPr>
        <w:pStyle w:val="NormalHanging12a"/>
      </w:pPr>
      <w:r w:rsidRPr="003E58C3">
        <w:t>3.</w:t>
      </w:r>
      <w:r w:rsidRPr="003E58C3">
        <w:tab/>
        <w:t>uważa, że jedynym sposobem wyjścia z niedostatku, ubóstwa i izolacji, w jakiej znajduje się naród kubański, są głębokie zmiany gospodarcze i polityczne prowadzące niezwłocznie do przejścia do w pełni rozwiniętej demokracji wielopartyjnej, w której dysydenci nie są prześladowani, więzieni, torturowani ani zabijani, a podstawowe prawa i wolności są przestrzegane w ramach otwartego dialogu narodowego zmierzającego do tej transformacji bez żadnych ograniczeń;</w:t>
      </w:r>
    </w:p>
    <w:p w:rsidR="00104422" w:rsidP="00104422" w14:paraId="0C5F5F06" w14:textId="77777777">
      <w:pPr>
        <w:pStyle w:val="NormalHanging12a"/>
      </w:pPr>
      <w:r w:rsidRPr="003E58C3">
        <w:t>4.</w:t>
      </w:r>
      <w:r w:rsidRPr="003E58C3">
        <w:tab/>
        <w:t>wzywa reżim kubański do przedstawienia zrównoważonych i znaczących reform gospodarczych, które zagwarantują pewność prawa i będą wspierać niezależne podmioty gospodarcze, prywatne inicjatywy, inwestycje i wolności, gdyż reformy takie stanowią podstawowy sposób na uniknięcie upadku;</w:t>
      </w:r>
    </w:p>
    <w:p w:rsidR="00A60C60" w:rsidRPr="00A60C60" w:rsidP="00104422" w14:paraId="06F68DBF" w14:textId="327A1CF1">
      <w:pPr>
        <w:pStyle w:val="NormalHanging12a"/>
        <w:rPr>
          <w:bCs/>
          <w:iCs/>
        </w:rPr>
      </w:pPr>
      <w:r>
        <w:rPr>
          <w:bCs/>
          <w:iCs/>
        </w:rPr>
        <w:t>5</w:t>
      </w:r>
      <w:r w:rsidRPr="00EC31AD">
        <w:rPr>
          <w:bCs/>
          <w:iCs/>
        </w:rPr>
        <w:t>.</w:t>
      </w:r>
      <w:r w:rsidRPr="00EC31AD">
        <w:rPr>
          <w:bCs/>
          <w:iCs/>
        </w:rPr>
        <w:tab/>
        <w:t xml:space="preserve">wzywa władze Kuby do ochrony praw człowieka i zagwarantowania prawa do pokojowego zgromadzania się i wolności wypowiedzi, bez dyskryminacji ze względu na poglądy polityczne; zdecydowanie potępia wszelkie naruszenia praw i wolności </w:t>
      </w:r>
      <w:r w:rsidRPr="00EC31AD">
        <w:rPr>
          <w:bCs/>
          <w:iCs/>
        </w:rPr>
        <w:t>obywatelskich i politycznych, w tym arbitralne zatrzymania, brutalne traktowanie, tortury, ograniczanie wolności wypowiedzi, zrzeszania się i pokojowych zgromadzeń, nękanie niezależnych dziennikarzy, obrońców praw człowieka i podmiotów społeczeństwa obywatelskiego, a także nieproporcjonalne stosowanie sankcji karnych wobec pokojowych demonstrantów;</w:t>
      </w:r>
    </w:p>
    <w:p w:rsidR="00104422" w:rsidRPr="003E58C3" w:rsidP="00104422" w14:paraId="41CD0DE5" w14:textId="17F9CCEC">
      <w:pPr>
        <w:pStyle w:val="NormalHanging12a"/>
      </w:pPr>
      <w:r>
        <w:t>6</w:t>
      </w:r>
      <w:r w:rsidRPr="003E58C3">
        <w:t>.</w:t>
      </w:r>
      <w:r w:rsidRPr="003E58C3">
        <w:tab/>
        <w:t>przypomina swoje wcześniejsze stanowiska dotyczące uruchomienia klauzuli zawieszającej PDCA i wzywa wiceprzewodniczącą / wysoką przedstawicielkę oraz państwa członkowskie do wyraźnego stwierdzenia, że o ile nie zostaną podjęte w najbliższym czasie jasne, konkretne i znaczące kroki w kierunku wprowadzenia takich zmian –</w:t>
      </w:r>
      <w:r w:rsidRPr="003E58C3">
        <w:tab/>
        <w:t>w tym jasna propozycja planu działania na rzecz transformacji demokratycznej na Kubie, natychmiastowe i bezwarunkowe uwolnienie blisko 1 300 więźniów politycznych oraz zezwolenie Kubańczykom, przymuszonym do życia na wygnaniu, na powrót bez represji – UE powinna bez dalszej zwłoki przystąpić do zawieszenia PDCA, która jest systematycznie łamana przez reżim kubański;</w:t>
      </w:r>
    </w:p>
    <w:p w:rsidR="00104422" w:rsidRPr="003E58C3" w:rsidP="00104422" w14:paraId="729AE42D" w14:textId="65373D18">
      <w:pPr>
        <w:pStyle w:val="NormalHanging12a"/>
        <w:rPr>
          <w:bCs/>
          <w:iCs/>
        </w:rPr>
      </w:pPr>
      <w:r>
        <w:t>7</w:t>
      </w:r>
      <w:r w:rsidRPr="003E58C3">
        <w:t>.</w:t>
      </w:r>
      <w:r w:rsidRPr="003E58C3">
        <w:tab/>
        <w:t xml:space="preserve">wzywa do podjęcia ukierunkowanych środków na mocy unijnej ustawy </w:t>
      </w:r>
      <w:r w:rsidRPr="003E58C3">
        <w:t>Magnickiego</w:t>
      </w:r>
      <w:r w:rsidRPr="003E58C3">
        <w:t xml:space="preserve"> wobec osób odpowiedzialnych za represje, począwszy od najwyższych rangą urzędników reżimu, w tym Miguela </w:t>
      </w:r>
      <w:r w:rsidRPr="003E58C3">
        <w:t>Díaza-Canela</w:t>
      </w:r>
      <w:r w:rsidRPr="003E58C3">
        <w:t xml:space="preserve"> oraz najwyższych rangą przedstawicieli aparatu bezpieczeństwa, wymiaru sprawiedliwości i systemu penitencjarnego, a także wobec kierownictwa GAESA;</w:t>
      </w:r>
    </w:p>
    <w:p w:rsidR="00104422" w:rsidRPr="003E58C3" w:rsidP="00104422" w14:paraId="3B309852" w14:textId="132FA6E0">
      <w:pPr>
        <w:pStyle w:val="NormalHanging12a"/>
        <w:rPr>
          <w:bCs/>
          <w:iCs/>
        </w:rPr>
      </w:pPr>
      <w:r>
        <w:t>8</w:t>
      </w:r>
      <w:r w:rsidRPr="003E58C3">
        <w:t>.</w:t>
      </w:r>
      <w:r w:rsidRPr="003E58C3">
        <w:tab/>
        <w:t>wzywa reżim do zniesienia, we wszystkich ich formach, mechanizmów zapobiegających popełnieniu przestępstwa wykorzystywanych do uciszania i arbitralnego więzienia obywateli oraz do uwolnienia wszystkich osób skazanych na ich podstawie, mimo że nie popełniły żadnego przestępstwa;</w:t>
      </w:r>
    </w:p>
    <w:p w:rsidR="00104422" w:rsidRPr="003E58C3" w:rsidP="00104422" w14:paraId="525052F0" w14:textId="26219B18">
      <w:pPr>
        <w:pStyle w:val="NormalHanging12a"/>
        <w:rPr>
          <w:bCs/>
          <w:iCs/>
        </w:rPr>
      </w:pPr>
      <w:r>
        <w:t>9</w:t>
      </w:r>
      <w:r w:rsidRPr="003E58C3">
        <w:t>.</w:t>
      </w:r>
      <w:r w:rsidRPr="003E58C3">
        <w:tab/>
        <w:t>wzywa do przeprowadzenia niezależnego międzynarodowego dochodzenia w sprawie warunków panujących w więzieniach, systemu przymusowego niedożywienia i zgonów osób przebywających w areszcie;</w:t>
      </w:r>
    </w:p>
    <w:p w:rsidR="00104422" w:rsidRPr="003E58C3" w:rsidP="00104422" w14:paraId="6E8A9029" w14:textId="7247B8A3">
      <w:pPr>
        <w:pStyle w:val="NormalHanging12a"/>
        <w:rPr>
          <w:bCs/>
          <w:iCs/>
        </w:rPr>
      </w:pPr>
      <w:r>
        <w:t>10</w:t>
      </w:r>
      <w:r w:rsidRPr="003E58C3">
        <w:t>.</w:t>
      </w:r>
      <w:r w:rsidRPr="003E58C3">
        <w:tab/>
        <w:t>potępia materialne wsparcie reżimu dla rosyjskiej wojny napastniczej przeciwko Ukrainie, w tym rekrutację obywateli kubańskich do walki z Ukrainą, oraz pogłębiającą się współpracę wojskową z Moskwą, a także nalega, aby traktować to jako centralny element przeglądu stosunków UE z Kubą; potępia również zbliżenie tego reżimu z reżimem Łukaszenki na Białorusi, w tym bliskie powiązania wojskowe i w zakresie bezpieczeństwa, które podważają bezpieczeństwo Europy;</w:t>
      </w:r>
    </w:p>
    <w:p w:rsidR="00104422" w:rsidRPr="003E58C3" w:rsidP="00104422" w14:paraId="54C95FF7" w14:textId="44834C03">
      <w:pPr>
        <w:pStyle w:val="NormalHanging12a"/>
      </w:pPr>
      <w:r w:rsidRPr="003E58C3">
        <w:t>1</w:t>
      </w:r>
      <w:r w:rsidR="00A60C60">
        <w:t>1</w:t>
      </w:r>
      <w:r w:rsidRPr="003E58C3">
        <w:t>.</w:t>
      </w:r>
      <w:r w:rsidRPr="003E58C3">
        <w:tab/>
        <w:t>domaga się, aby niezależne społeczeństwo obywatelskie i opozycja demokratyczna mogły bez obawy przed represjami uczestniczyć w każdym dialogu prowadzonym w ramach PDCA – co jest wymogiem samej umowy – oraz aby UE w żaden sposób nie była współwinna naruszeń praw człowieka na wyspie, w tym misji medycznych wiążących się z pracą przymusową, której zaprzestania we wszystkich jej formach domaga się od reżimu;</w:t>
      </w:r>
    </w:p>
    <w:p w:rsidR="00104422" w:rsidRPr="003E58C3" w:rsidP="00104422" w14:paraId="4C73764C" w14:textId="7C07E03C">
      <w:pPr>
        <w:pStyle w:val="NormalHanging12a"/>
        <w:rPr>
          <w:bCs/>
          <w:iCs/>
        </w:rPr>
      </w:pPr>
      <w:r w:rsidRPr="003E58C3">
        <w:t>1</w:t>
      </w:r>
      <w:r w:rsidR="00A60C60">
        <w:t>2</w:t>
      </w:r>
      <w:r w:rsidRPr="003E58C3">
        <w:t>.</w:t>
      </w:r>
      <w:r w:rsidRPr="003E58C3">
        <w:tab/>
        <w:t xml:space="preserve">wyraża głębokie i pilne zaniepokojenie dramatycznym pogorszeniem się warunków życia na Kubie oraz nasilającymi się skutkami humanitarnymi braku dostępu do paliwa, leków, żywności i innych podstawowych towarów oraz usług publicznych, co dotyka w szczególności grupy znajdujące się w trudnej sytuacji; wzywa Komisję i państwa członkowskie do stworzenia kanałów pomocy humanitarnej umożliwiających dostarczanie energii, żywności i leków bezpośrednio Kubańczykom i niezależnym </w:t>
      </w:r>
      <w:r w:rsidRPr="003E58C3">
        <w:t>przedsiębiorstwom, z pominięciem państwa, oraz wzywa wszystkich darczyńców do zwiększenia pomocy humanitarnej, która musi pozostać chroniona, wolna od pośrednictwa państwa i nigdy nie może służyć finansowaniu reżimu;</w:t>
      </w:r>
    </w:p>
    <w:p w:rsidR="00104422" w:rsidRPr="003E58C3" w:rsidP="00104422" w14:paraId="048E2D36" w14:textId="55325322">
      <w:pPr>
        <w:pStyle w:val="NormalHanging12a"/>
        <w:rPr>
          <w:bCs/>
          <w:iCs/>
        </w:rPr>
      </w:pPr>
      <w:r w:rsidRPr="003E58C3">
        <w:t>1</w:t>
      </w:r>
      <w:r w:rsidR="00A60C60">
        <w:t>3</w:t>
      </w:r>
      <w:r w:rsidRPr="003E58C3">
        <w:t>.</w:t>
      </w:r>
      <w:r w:rsidRPr="003E58C3">
        <w:tab/>
        <w:t>jest gotów, wraz ze społecznością międzynarodową, udzielić Kubie znacznej pomocy przez kanały niezależne od rządu, gdy tylko zainicjuje ona wiarygodne przemiany demokratyczne, tak aby wyspa mogła się rozwijać i zagwarantować dobrobyt swoich obywateli; wzywa wiceprzewodniczącą Komisji / wysoką przedstawicielkę Unii do spraw zagranicznych i polityki bezpieczeństwa oraz państwa członkowskie do konsekwentnego poruszania tych spraw na wszystkich odpowiednich forach oraz do wspierania rozliczalności i pokojowej transformacji prowadzonej przez obywateli;</w:t>
      </w:r>
    </w:p>
    <w:p w:rsidR="003E58C3" w:rsidRPr="003E58C3" w:rsidP="003E58C3" w14:paraId="5D691DCC" w14:textId="06AC2A94">
      <w:pPr>
        <w:pStyle w:val="NormalHanging12a"/>
      </w:pPr>
      <w:r w:rsidRPr="003E58C3">
        <w:t>1</w:t>
      </w:r>
      <w:r w:rsidR="00A60C60">
        <w:t>4</w:t>
      </w:r>
      <w:r w:rsidRPr="003E58C3">
        <w:t>.</w:t>
      </w:r>
      <w:r w:rsidRPr="003E58C3">
        <w:tab/>
        <w:t>zobowiązuje swoją przewodniczącą do przekazania niniejszej rezolucji Radzie, Komisji, rotacyjnej prezydencji Rady, wiceprzewodniczącej Komisji / wysokiej przedstawicielce Unii do spraw zagranicznych i polityki bezpieczeństwa, Specjalnemu Przedstawicielowi UE ds. Praw Człowieka, rządom i parlamentom państw członkowskich, Organizacji Państw Amerykańskich, Organizacji Narodów Zjednoczonych, Europejsko-Latynoamerykańskiemu Zgromadzeniu Parlamentarnemu, krajom Wspólnoty Państw Ameryki Łacińskiej i Karaibów oraz reżimowi kubańskiemu.</w:t>
      </w:r>
    </w:p>
    <w:p w:rsidR="00E365E1" w:rsidRPr="003E58C3" w:rsidP="00A21D19" w14:paraId="01F04BB3" w14:textId="5F9D17FC"/>
    <w:sectPr w:rsidSect="003E58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58C3" w14:paraId="06A74D5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58C3" w14:paraId="0891DBA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58C3" w14:paraId="4281CDF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21D19" w:rsidRPr="003E58C3" w14:paraId="2B527AFE" w14:textId="77777777">
      <w:r w:rsidRPr="003E58C3">
        <w:separator/>
      </w:r>
    </w:p>
  </w:footnote>
  <w:footnote w:type="continuationSeparator" w:id="1">
    <w:p w:rsidR="00A21D19" w:rsidRPr="003E58C3" w14:paraId="78FA97E3" w14:textId="77777777">
      <w:r w:rsidRPr="003E58C3">
        <w:continuationSeparator/>
      </w:r>
    </w:p>
  </w:footnote>
  <w:footnote w:id="2">
    <w:p w:rsidR="00104422" w:rsidRPr="00A60C60" w:rsidP="003E58C3" w14:paraId="52E9C34C" w14:textId="2D68279F">
      <w:pPr>
        <w:pStyle w:val="FootnoteText"/>
        <w:ind w:left="567" w:hanging="567"/>
        <w:rPr>
          <w:sz w:val="24"/>
          <w:lang w:val="fi-FI"/>
        </w:rPr>
      </w:pPr>
      <w:r w:rsidRPr="003E58C3">
        <w:rPr>
          <w:rStyle w:val="FootnoteReference"/>
          <w:sz w:val="24"/>
          <w:lang w:val="pl-PL"/>
        </w:rPr>
        <w:footnoteRef/>
      </w:r>
      <w:r w:rsidRPr="00A60C60" w:rsidR="003E58C3">
        <w:rPr>
          <w:sz w:val="24"/>
          <w:lang w:val="fi-FI"/>
        </w:rPr>
        <w:t xml:space="preserve"> </w:t>
      </w:r>
      <w:r w:rsidRPr="00A60C60" w:rsidR="003E58C3">
        <w:rPr>
          <w:sz w:val="24"/>
          <w:lang w:val="fi-FI"/>
        </w:rPr>
        <w:tab/>
      </w:r>
      <w:r w:rsidRPr="00A60C60">
        <w:rPr>
          <w:sz w:val="24"/>
          <w:lang w:val="fi-FI"/>
        </w:rPr>
        <w:t>Dz.U</w:t>
      </w:r>
      <w:r w:rsidRPr="00A60C60">
        <w:rPr>
          <w:sz w:val="24"/>
          <w:lang w:val="fi-FI"/>
        </w:rPr>
        <w:t>. C, C/2024/7213, 10.12.2024, ELI: http://data.europa.eu/eli/C/2024/7213/oj .</w:t>
      </w:r>
    </w:p>
  </w:footnote>
  <w:footnote w:id="3">
    <w:p w:rsidR="00104422" w:rsidRPr="00A60C60" w:rsidP="003E58C3" w14:paraId="6CF60B14" w14:textId="0C3AEEB1">
      <w:pPr>
        <w:pStyle w:val="FootnoteText"/>
        <w:ind w:left="567" w:hanging="567"/>
        <w:rPr>
          <w:sz w:val="24"/>
          <w:lang w:val="fi-FI"/>
        </w:rPr>
      </w:pPr>
      <w:r w:rsidRPr="003E58C3">
        <w:rPr>
          <w:rStyle w:val="FootnoteReference"/>
          <w:sz w:val="24"/>
          <w:lang w:val="pl-PL"/>
        </w:rPr>
        <w:footnoteRef/>
      </w:r>
      <w:r w:rsidRPr="00A60C60" w:rsidR="003E58C3">
        <w:rPr>
          <w:sz w:val="24"/>
          <w:lang w:val="fi-FI"/>
        </w:rPr>
        <w:t xml:space="preserve"> </w:t>
      </w:r>
      <w:r w:rsidRPr="00A60C60" w:rsidR="003E58C3">
        <w:rPr>
          <w:sz w:val="24"/>
          <w:lang w:val="fi-FI"/>
        </w:rPr>
        <w:tab/>
      </w:r>
      <w:r w:rsidRPr="00A60C60">
        <w:rPr>
          <w:sz w:val="24"/>
          <w:lang w:val="fi-FI"/>
        </w:rPr>
        <w:t>Dz.U. C, C/2024/6748, 26.11.2024, ELI: http://data.europa.eu/eli/C/2024/6748/oj.</w:t>
      </w:r>
    </w:p>
  </w:footnote>
  <w:footnote w:id="4">
    <w:p w:rsidR="00104422" w:rsidRPr="00A60C60" w:rsidP="003E58C3" w14:paraId="3614019E" w14:textId="79D26BD7">
      <w:pPr>
        <w:pStyle w:val="FootnoteText"/>
        <w:ind w:left="567" w:hanging="567"/>
        <w:rPr>
          <w:sz w:val="24"/>
          <w:lang w:val="fi-FI"/>
        </w:rPr>
      </w:pPr>
      <w:r w:rsidRPr="003E58C3">
        <w:rPr>
          <w:rStyle w:val="FootnoteReference"/>
          <w:sz w:val="24"/>
          <w:lang w:val="pl-PL"/>
        </w:rPr>
        <w:footnoteRef/>
      </w:r>
      <w:r w:rsidRPr="00A60C60" w:rsidR="003E58C3">
        <w:rPr>
          <w:sz w:val="24"/>
          <w:lang w:val="fi-FI"/>
        </w:rPr>
        <w:t xml:space="preserve"> </w:t>
      </w:r>
      <w:r w:rsidRPr="00A60C60" w:rsidR="003E58C3">
        <w:rPr>
          <w:sz w:val="24"/>
          <w:lang w:val="fi-FI"/>
        </w:rPr>
        <w:tab/>
      </w:r>
      <w:r w:rsidRPr="00A60C60">
        <w:rPr>
          <w:sz w:val="24"/>
          <w:lang w:val="fi-FI"/>
        </w:rPr>
        <w:t>Dz.U</w:t>
      </w:r>
      <w:r w:rsidRPr="00A60C60">
        <w:rPr>
          <w:sz w:val="24"/>
          <w:lang w:val="fi-FI"/>
        </w:rPr>
        <w:t>. C, C/2024/4001, 17.7.2024, ELI: http://data.europa.eu/eli/C/2024/4001/oj.</w:t>
      </w:r>
    </w:p>
  </w:footnote>
  <w:footnote w:id="5">
    <w:p w:rsidR="00104422" w:rsidRPr="003E58C3" w:rsidP="003E58C3" w14:paraId="388ECDE9" w14:textId="4F98346E">
      <w:pPr>
        <w:pStyle w:val="FootnoteText"/>
        <w:ind w:left="567" w:hanging="567"/>
        <w:rPr>
          <w:sz w:val="24"/>
          <w:lang w:val="pl-PL"/>
        </w:rPr>
      </w:pPr>
      <w:r w:rsidRPr="003E58C3">
        <w:rPr>
          <w:rStyle w:val="FootnoteReference"/>
          <w:sz w:val="24"/>
          <w:lang w:val="pl-PL"/>
        </w:rPr>
        <w:footnoteRef/>
      </w:r>
      <w:r w:rsidRPr="003E58C3" w:rsidR="003E58C3">
        <w:rPr>
          <w:sz w:val="24"/>
          <w:lang w:val="pl-PL"/>
        </w:rPr>
        <w:t xml:space="preserve"> </w:t>
      </w:r>
      <w:r w:rsidRPr="003E58C3" w:rsidR="003E58C3">
        <w:rPr>
          <w:sz w:val="24"/>
          <w:lang w:val="pl-PL"/>
        </w:rPr>
        <w:tab/>
      </w:r>
      <w:r w:rsidRPr="003E58C3">
        <w:rPr>
          <w:sz w:val="24"/>
          <w:lang w:val="pl-PL"/>
        </w:rPr>
        <w:t>Dz.U. L 337 I z 13.12.2016, s. 3, ELI: http://data.europa.eu/eli/agree_internation/2016/2232/oj.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58C3" w14:paraId="6EDF46C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58C3" w14:paraId="777384C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58C3" w14:paraId="5AF9774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3007995">
    <w:abstractNumId w:val="9"/>
  </w:num>
  <w:num w:numId="2" w16cid:durableId="1233273365">
    <w:abstractNumId w:val="9"/>
  </w:num>
  <w:num w:numId="3" w16cid:durableId="2017801901">
    <w:abstractNumId w:val="7"/>
  </w:num>
  <w:num w:numId="4" w16cid:durableId="589393500">
    <w:abstractNumId w:val="7"/>
  </w:num>
  <w:num w:numId="5" w16cid:durableId="90011967">
    <w:abstractNumId w:val="6"/>
  </w:num>
  <w:num w:numId="6" w16cid:durableId="1957902738">
    <w:abstractNumId w:val="6"/>
  </w:num>
  <w:num w:numId="7" w16cid:durableId="511190577">
    <w:abstractNumId w:val="5"/>
  </w:num>
  <w:num w:numId="8" w16cid:durableId="1844514835">
    <w:abstractNumId w:val="5"/>
  </w:num>
  <w:num w:numId="9" w16cid:durableId="930743673">
    <w:abstractNumId w:val="4"/>
  </w:num>
  <w:num w:numId="10" w16cid:durableId="914046407">
    <w:abstractNumId w:val="4"/>
  </w:num>
  <w:num w:numId="11" w16cid:durableId="1117682070">
    <w:abstractNumId w:val="8"/>
  </w:num>
  <w:num w:numId="12" w16cid:durableId="673266385">
    <w:abstractNumId w:val="8"/>
  </w:num>
  <w:num w:numId="13" w16cid:durableId="480149379">
    <w:abstractNumId w:val="3"/>
  </w:num>
  <w:num w:numId="14" w16cid:durableId="1632007296">
    <w:abstractNumId w:val="3"/>
  </w:num>
  <w:num w:numId="15" w16cid:durableId="1526400430">
    <w:abstractNumId w:val="2"/>
  </w:num>
  <w:num w:numId="16" w16cid:durableId="2004896483">
    <w:abstractNumId w:val="2"/>
  </w:num>
  <w:num w:numId="17" w16cid:durableId="530260495">
    <w:abstractNumId w:val="1"/>
  </w:num>
  <w:num w:numId="18" w16cid:durableId="631130557">
    <w:abstractNumId w:val="1"/>
  </w:num>
  <w:num w:numId="19" w16cid:durableId="2004505217">
    <w:abstractNumId w:val="0"/>
  </w:num>
  <w:num w:numId="20" w16cid:durableId="1111128911">
    <w:abstractNumId w:val="0"/>
  </w:num>
  <w:num w:numId="21" w16cid:durableId="1876233914">
    <w:abstractNumId w:val="9"/>
  </w:num>
  <w:num w:numId="22" w16cid:durableId="1787653863">
    <w:abstractNumId w:val="7"/>
  </w:num>
  <w:num w:numId="23" w16cid:durableId="442967292">
    <w:abstractNumId w:val="6"/>
  </w:num>
  <w:num w:numId="24" w16cid:durableId="122893421">
    <w:abstractNumId w:val="5"/>
  </w:num>
  <w:num w:numId="25" w16cid:durableId="1051611474">
    <w:abstractNumId w:val="4"/>
  </w:num>
  <w:num w:numId="26" w16cid:durableId="340013788">
    <w:abstractNumId w:val="8"/>
  </w:num>
  <w:num w:numId="27" w16cid:durableId="631903875">
    <w:abstractNumId w:val="3"/>
  </w:num>
  <w:num w:numId="28" w16cid:durableId="1612274990">
    <w:abstractNumId w:val="2"/>
  </w:num>
  <w:num w:numId="29" w16cid:durableId="1895309988">
    <w:abstractNumId w:val="1"/>
  </w:num>
  <w:num w:numId="30" w16cid:durableId="1257832701">
    <w:abstractNumId w:val="0"/>
  </w:num>
  <w:num w:numId="31" w16cid:durableId="39014823">
    <w:abstractNumId w:val="9"/>
  </w:num>
  <w:num w:numId="32" w16cid:durableId="610865441">
    <w:abstractNumId w:val="7"/>
  </w:num>
  <w:num w:numId="33" w16cid:durableId="698050930">
    <w:abstractNumId w:val="6"/>
  </w:num>
  <w:num w:numId="34" w16cid:durableId="483668596">
    <w:abstractNumId w:val="5"/>
  </w:num>
  <w:num w:numId="35" w16cid:durableId="1322202020">
    <w:abstractNumId w:val="4"/>
  </w:num>
  <w:num w:numId="36" w16cid:durableId="591860693">
    <w:abstractNumId w:val="8"/>
  </w:num>
  <w:num w:numId="37" w16cid:durableId="2093307374">
    <w:abstractNumId w:val="3"/>
  </w:num>
  <w:num w:numId="38" w16cid:durableId="833880567">
    <w:abstractNumId w:val="2"/>
  </w:num>
  <w:num w:numId="39" w16cid:durableId="1989168257">
    <w:abstractNumId w:val="1"/>
  </w:num>
  <w:num w:numId="40" w16cid:durableId="644428890">
    <w:abstractNumId w:val="0"/>
  </w:num>
  <w:num w:numId="41" w16cid:durableId="1457672599">
    <w:abstractNumId w:val="10"/>
  </w:num>
  <w:num w:numId="42" w16cid:durableId="950087151">
    <w:abstractNumId w:val="10"/>
  </w:num>
  <w:num w:numId="43" w16cid:durableId="1697778318">
    <w:abstractNumId w:val="10"/>
  </w:num>
  <w:num w:numId="44" w16cid:durableId="832182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D19"/>
    <w:rsid w:val="00002272"/>
    <w:rsid w:val="00064002"/>
    <w:rsid w:val="000677B9"/>
    <w:rsid w:val="000831BA"/>
    <w:rsid w:val="000A42CC"/>
    <w:rsid w:val="000E7DD9"/>
    <w:rsid w:val="0010095E"/>
    <w:rsid w:val="0010442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8C3"/>
    <w:rsid w:val="00411CCE"/>
    <w:rsid w:val="004136E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8E9"/>
    <w:rsid w:val="005C2568"/>
    <w:rsid w:val="005C7EA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E7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03"/>
    <w:rsid w:val="00930C23"/>
    <w:rsid w:val="0093193B"/>
    <w:rsid w:val="009509D8"/>
    <w:rsid w:val="00950B64"/>
    <w:rsid w:val="00981893"/>
    <w:rsid w:val="00A1687D"/>
    <w:rsid w:val="00A21D19"/>
    <w:rsid w:val="00A43E52"/>
    <w:rsid w:val="00A4678D"/>
    <w:rsid w:val="00A60C6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1A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85/2026"/>
    <w:docVar w:name="dvlangue" w:val="PL"/>
    <w:docVar w:name="dvnumam" w:val="0"/>
    <w:docVar w:name="dvpe" w:val="783.341"/>
    <w:docVar w:name="dvtitre" w:val="Rezolucja Parlamentu Europejskiego z dnia  2026 r. w sprawie represji politycznych i sytuacji humanitarnej na Kubie(2026/273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CC1940"/>
  <w15:chartTrackingRefBased/>
  <w15:docId w15:val="{AE4A53B4-3590-4413-9842-2E66914E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0442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0442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04422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rsid w:val="00104422"/>
    <w:rPr>
      <w:sz w:val="24"/>
      <w:lang w:val="pl-PL"/>
    </w:rPr>
  </w:style>
  <w:style w:type="character" w:customStyle="1" w:styleId="doceo-font-family-base">
    <w:name w:val="doceo-font-family-base"/>
    <w:basedOn w:val="DefaultParagraphFont"/>
    <w:rsid w:val="00104422"/>
  </w:style>
  <w:style w:type="paragraph" w:styleId="Revision">
    <w:name w:val="Revision"/>
    <w:hidden/>
    <w:uiPriority w:val="99"/>
    <w:semiHidden/>
    <w:rsid w:val="00A60C6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2618</Words>
  <Characters>17275</Characters>
  <Application>Microsoft Office Word</Application>
  <DocSecurity>0</DocSecurity>
  <Lines>303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2026-07-20T08:21:00Z</dcterms:created>
  <dcterms:modified xsi:type="dcterms:W3CDTF">2026-07-20T08:21:00Z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B10-0285/2026</vt:lpwstr>
  </property>
  <property fmtid="{D5CDD505-2E9C-101B-9397-08002B2CF9AE}" pid="4" name="&lt;Type&gt;">
    <vt:lpwstr>RR</vt:lpwstr>
  </property>
</Properties>
</file>