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96DA0A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2EB5" w:rsidP="0010095E" w14:paraId="3E8790E6" w14:textId="77777777">
            <w:pPr>
              <w:pStyle w:val="EPName"/>
            </w:pPr>
            <w:r w:rsidRPr="00432EB5">
              <w:t>Európsky parlament</w:t>
            </w:r>
          </w:p>
          <w:p w:rsidR="00751A4A" w:rsidRPr="00432EB5" w:rsidP="005F1B17" w14:paraId="71CEA27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2EB5">
              <w:t>2024</w:t>
            </w:r>
            <w:r w:rsidRPr="00432EB5" w:rsidR="00817416">
              <w:t>-202</w:t>
            </w:r>
            <w:r w:rsidRPr="00432EB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32EB5" w:rsidP="0010095E" w14:paraId="1F3AAF8E" w14:textId="77777777">
            <w:pPr>
              <w:pStyle w:val="EPLogo"/>
            </w:pPr>
            <w:r w:rsidRPr="00432EB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2EB5" w:rsidP="004C5D52" w14:paraId="6DB8AD69" w14:textId="77777777">
      <w:pPr>
        <w:pStyle w:val="LineTop"/>
      </w:pPr>
    </w:p>
    <w:p w:rsidR="00680577" w:rsidRPr="00432EB5" w:rsidP="00680577" w14:paraId="60E17C52" w14:textId="77777777">
      <w:pPr>
        <w:pStyle w:val="EPBodyTA1"/>
      </w:pPr>
      <w:r w:rsidRPr="00432EB5">
        <w:t>PRIJATÉ TEXTY</w:t>
      </w:r>
    </w:p>
    <w:p w:rsidR="00D058B8" w:rsidRPr="00432EB5" w:rsidP="00D058B8" w14:paraId="456B3446" w14:textId="77777777">
      <w:pPr>
        <w:pStyle w:val="LineBottom"/>
      </w:pPr>
    </w:p>
    <w:p w:rsidR="000D759E" w:rsidRPr="00432EB5" w:rsidP="000D759E" w14:paraId="3CC13D24" w14:textId="78E57643">
      <w:pPr>
        <w:pStyle w:val="ATHeading1"/>
      </w:pPr>
      <w:bookmarkStart w:id="0" w:name="TANumber"/>
      <w:r w:rsidRPr="00432EB5">
        <w:t>P10_TA(2026)0</w:t>
      </w:r>
      <w:r w:rsidRPr="00432EB5" w:rsidR="00432EB5">
        <w:t>229</w:t>
      </w:r>
      <w:bookmarkEnd w:id="0"/>
    </w:p>
    <w:p w:rsidR="000D759E" w:rsidRPr="00432EB5" w:rsidP="000D759E" w14:paraId="5C537481" w14:textId="77777777">
      <w:pPr>
        <w:pStyle w:val="ATHeading2"/>
      </w:pPr>
      <w:bookmarkStart w:id="1" w:name="title"/>
      <w:r w:rsidRPr="00432EB5">
        <w:t>Politické represie a humanitárna situácia na Kube</w:t>
      </w:r>
      <w:bookmarkEnd w:id="1"/>
    </w:p>
    <w:p w:rsidR="000D759E" w:rsidRPr="00432EB5" w:rsidP="000D759E" w14:paraId="08A95E52" w14:textId="77777777">
      <w:pPr>
        <w:rPr>
          <w:i/>
          <w:vanish/>
        </w:rPr>
      </w:pPr>
      <w:r>
        <w:rPr>
          <w:i/>
        </w:rPr>
        <w:fldChar w:fldCharType="begin"/>
      </w:r>
      <w:r w:rsidRPr="00432EB5">
        <w:rPr>
          <w:i/>
        </w:rPr>
        <w:instrText xml:space="preserve"> TC"(</w:instrText>
      </w:r>
      <w:bookmarkStart w:id="2" w:name="DocNumber"/>
      <w:r w:rsidRPr="00432EB5">
        <w:rPr>
          <w:i/>
        </w:rPr>
        <w:instrText>B10-0285, 0285 a 0291/2026</w:instrText>
      </w:r>
      <w:bookmarkEnd w:id="2"/>
      <w:r w:rsidRPr="00432EB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D759E" w:rsidRPr="00432EB5" w:rsidP="000D759E" w14:paraId="64942104" w14:textId="77777777">
      <w:pPr>
        <w:rPr>
          <w:vanish/>
        </w:rPr>
      </w:pPr>
      <w:bookmarkStart w:id="3" w:name="PE"/>
      <w:r w:rsidRPr="00432EB5">
        <w:rPr>
          <w:vanish/>
        </w:rPr>
        <w:t>PE783.341</w:t>
      </w:r>
      <w:bookmarkEnd w:id="3"/>
    </w:p>
    <w:p w:rsidR="000D759E" w:rsidRPr="00432EB5" w:rsidP="000D759E" w14:paraId="21C37D42" w14:textId="3369500C">
      <w:pPr>
        <w:pStyle w:val="ATHeading3"/>
      </w:pPr>
      <w:bookmarkStart w:id="4" w:name="Sujet"/>
      <w:r w:rsidRPr="00432EB5">
        <w:t xml:space="preserve">Uznesenie Európskeho parlamentu z </w:t>
      </w:r>
      <w:r w:rsidRPr="00432EB5" w:rsidR="00B73EE5">
        <w:t>18</w:t>
      </w:r>
      <w:r w:rsidRPr="00432EB5">
        <w:t xml:space="preserve">. </w:t>
      </w:r>
      <w:r w:rsidRPr="00432EB5" w:rsidR="00B73EE5">
        <w:t xml:space="preserve">júna </w:t>
      </w:r>
      <w:r w:rsidRPr="00432EB5">
        <w:t>2026 o politických represiách a humanitárnej situácii na Kube</w:t>
      </w:r>
      <w:bookmarkEnd w:id="4"/>
      <w:r w:rsidRPr="00432EB5">
        <w:t xml:space="preserve"> </w:t>
      </w:r>
      <w:bookmarkStart w:id="5" w:name="References"/>
      <w:r w:rsidRPr="00432EB5">
        <w:t>(2026/2735(RSP))</w:t>
      </w:r>
      <w:bookmarkEnd w:id="5"/>
    </w:p>
    <w:p w:rsidR="00D769FA" w:rsidRPr="00432EB5" w:rsidP="00D769FA" w14:paraId="3F1ABC63" w14:textId="77777777">
      <w:pPr>
        <w:pStyle w:val="EPComma"/>
      </w:pPr>
      <w:bookmarkStart w:id="6" w:name="TextBodyBegin"/>
      <w:bookmarkEnd w:id="6"/>
      <w:r w:rsidRPr="00432EB5">
        <w:rPr>
          <w:i/>
          <w:iCs/>
        </w:rPr>
        <w:t>Európsky parlament</w:t>
      </w:r>
      <w:r w:rsidRPr="00432EB5">
        <w:t>,</w:t>
      </w:r>
    </w:p>
    <w:p w:rsidR="00D769FA" w:rsidRPr="00432EB5" w:rsidP="00D769FA" w14:paraId="7FB9EB04" w14:textId="35174A3E">
      <w:pPr>
        <w:pStyle w:val="NormalHanging12a"/>
      </w:pPr>
      <w:r w:rsidRPr="00432EB5">
        <w:t>–</w:t>
      </w:r>
      <w:r w:rsidRPr="00432EB5">
        <w:tab/>
        <w:t xml:space="preserve">so zreteľom na svoje predchádzajúce uznesenia o situácii na Kube, najmä na uznesenie z 19. septembra 2024 o prípade </w:t>
      </w:r>
      <w:r w:rsidRPr="00432EB5">
        <w:t>Josého</w:t>
      </w:r>
      <w:r w:rsidRPr="00432EB5">
        <w:t xml:space="preserve"> Daniela </w:t>
      </w:r>
      <w:r w:rsidRPr="00432EB5">
        <w:t>Ferrera</w:t>
      </w:r>
      <w:r w:rsidRPr="00432EB5">
        <w:t xml:space="preserve"> </w:t>
      </w:r>
      <w:r w:rsidRPr="00432EB5">
        <w:t>Garcíu</w:t>
      </w:r>
      <w:r w:rsidRPr="00432EB5">
        <w:t xml:space="preserve"> na Kube</w:t>
      </w:r>
      <w:r>
        <w:rPr>
          <w:rStyle w:val="FootnoteReference"/>
        </w:rPr>
        <w:footnoteReference w:id="2"/>
      </w:r>
      <w:r w:rsidRPr="00432EB5">
        <w:t>, uznesenie z 29. februára</w:t>
      </w:r>
      <w:r w:rsidR="00CB6D25">
        <w:t xml:space="preserve"> 2024</w:t>
      </w:r>
      <w:r w:rsidRPr="00432EB5">
        <w:t xml:space="preserve"> o kritickej situácii na Kube</w:t>
      </w:r>
      <w:r>
        <w:rPr>
          <w:rStyle w:val="FootnoteReference"/>
        </w:rPr>
        <w:footnoteReference w:id="3"/>
      </w:r>
      <w:r w:rsidRPr="00432EB5">
        <w:t xml:space="preserve"> a uznesenie z 12. júla 2023 o stave v súvislosti s Dohodou o politickom dialógu a spolupráci medzi EÚ a Kubou vzhľadom na nedávnu návštevu vysokého predstaviteľa na ostrove</w:t>
      </w:r>
      <w:r>
        <w:rPr>
          <w:rStyle w:val="FootnoteReference"/>
        </w:rPr>
        <w:footnoteReference w:id="4"/>
      </w:r>
      <w:r w:rsidRPr="00432EB5">
        <w:t>,</w:t>
      </w:r>
    </w:p>
    <w:p w:rsidR="00D769FA" w:rsidRPr="00432EB5" w:rsidP="00D769FA" w14:paraId="1A79FC7B" w14:textId="77777777">
      <w:pPr>
        <w:pStyle w:val="NormalHanging12a"/>
      </w:pPr>
      <w:r w:rsidRPr="00432EB5">
        <w:t>–</w:t>
      </w:r>
      <w:r w:rsidRPr="00432EB5">
        <w:tab/>
        <w:t>so zreteľom na Dohodu o politickom dialógu a spolupráci medzi Európskou úniou a jej členskými štátmi na jednej strane a Kubánskou republikou na strane druhej</w:t>
      </w:r>
      <w:r>
        <w:rPr>
          <w:rStyle w:val="FootnoteReference"/>
        </w:rPr>
        <w:footnoteReference w:id="5"/>
      </w:r>
      <w:r w:rsidRPr="00432EB5">
        <w:t>, podpísanú v decembri 2016, ktorá sa dočasne uplatňuje od 1. novembra 2017, a najmä na doložku o základných ustanoveniach podľa článku 1 ods. 5 a doložku o pozastavení podľa článku 85 ods. 3 písm. b) tejto dohody,</w:t>
      </w:r>
    </w:p>
    <w:p w:rsidR="00D769FA" w:rsidRPr="00432EB5" w:rsidP="00D769FA" w14:paraId="54D7B042" w14:textId="77777777">
      <w:pPr>
        <w:pStyle w:val="NormalHanging12a"/>
      </w:pPr>
      <w:r w:rsidRPr="00432EB5">
        <w:t>–</w:t>
      </w:r>
      <w:r w:rsidRPr="00432EB5">
        <w:tab/>
        <w:t>so zreteľom na súhlas s dohodou o politickom dialógu a spolupráci, ktorý Parlament udelil 5. júla 2017 pod podmienkou, že Kuba zásadne zlepší situáciu v oblasti ľudských práv a základných slobôd na Kube,</w:t>
      </w:r>
    </w:p>
    <w:p w:rsidR="00D769FA" w:rsidRPr="00432EB5" w:rsidP="00D769FA" w14:paraId="7191A8F1" w14:textId="77777777">
      <w:pPr>
        <w:pStyle w:val="NormalHanging12a"/>
      </w:pPr>
      <w:r w:rsidRPr="00432EB5">
        <w:t>—</w:t>
      </w:r>
      <w:r w:rsidRPr="00432EB5">
        <w:tab/>
        <w:t>so zreteľom na globálny sankčný režim EÚ v oblasti ľudských práv (</w:t>
      </w:r>
      <w:r w:rsidRPr="00432EB5">
        <w:t>Magnitského</w:t>
      </w:r>
      <w:r w:rsidRPr="00432EB5">
        <w:t xml:space="preserve"> akt EÚ),</w:t>
      </w:r>
    </w:p>
    <w:p w:rsidR="00D769FA" w:rsidRPr="00432EB5" w:rsidP="00D769FA" w14:paraId="7C0B2500" w14:textId="77777777">
      <w:pPr>
        <w:pStyle w:val="NormalHanging12a"/>
      </w:pPr>
      <w:r w:rsidRPr="00432EB5">
        <w:t>–</w:t>
      </w:r>
      <w:r w:rsidRPr="00432EB5">
        <w:tab/>
        <w:t>so zreteľom na Všeobecnú deklaráciu ľudských práv, Medzinárodný pakt o občianskych a politických právach, Dohovor OSN proti mučeniu a inému krutému, neľudskému alebo ponižujúcemu zaobchádzaniu alebo trestaniu a Dohovor OSN o právach dieťaťa, ktorých je Kuba zmluvnou stranou,</w:t>
      </w:r>
    </w:p>
    <w:p w:rsidR="00D769FA" w:rsidRPr="00432EB5" w:rsidP="00D769FA" w14:paraId="52977027" w14:textId="77777777">
      <w:pPr>
        <w:pStyle w:val="NormalHanging12a"/>
      </w:pPr>
      <w:r w:rsidRPr="00432EB5">
        <w:t>–</w:t>
      </w:r>
      <w:r w:rsidRPr="00432EB5">
        <w:tab/>
        <w:t xml:space="preserve">so zreteľom na správy mimovládnej organizácie </w:t>
      </w:r>
      <w:r w:rsidRPr="00432EB5">
        <w:t>Prisoners</w:t>
      </w:r>
      <w:r w:rsidRPr="00432EB5">
        <w:t xml:space="preserve"> </w:t>
      </w:r>
      <w:r w:rsidRPr="00432EB5">
        <w:t>Defenders</w:t>
      </w:r>
      <w:r w:rsidRPr="00432EB5">
        <w:t xml:space="preserve"> (Obhajcovia väzňov), najmä na jej mesačnú správu z mája 2026 uverejnenú 11. júna 2026, ktorá sa zaoberá mučením, štrukturálnym porušovaním riadneho procesu, „</w:t>
      </w:r>
      <w:r w:rsidRPr="00432EB5">
        <w:t>predtrestnou</w:t>
      </w:r>
      <w:r w:rsidRPr="00432EB5">
        <w:t xml:space="preserve"> </w:t>
      </w:r>
      <w:r w:rsidRPr="00432EB5">
        <w:t>spoločenskou nebezpečnosťou“, digitálnym sledovaním a nútenou podvýživou v kubánskych väzniciach,</w:t>
      </w:r>
    </w:p>
    <w:p w:rsidR="00D769FA" w:rsidRPr="00432EB5" w:rsidP="00D769FA" w14:paraId="16B66B73" w14:textId="77777777">
      <w:pPr>
        <w:pStyle w:val="NormalHanging12a"/>
      </w:pPr>
      <w:r w:rsidRPr="00432EB5">
        <w:t>–</w:t>
      </w:r>
      <w:r w:rsidRPr="00432EB5">
        <w:tab/>
        <w:t>so zreteľom na spoločné vypočutie Výboru pre zahraničné veci a Podvýboru pre ľudské práva venované situácii na Kube, ktoré sa konalo 5. mája 2026, a na svedectvá, ktoré podali spravodajca pre Kubu z </w:t>
      </w:r>
      <w:r w:rsidRPr="00432EB5">
        <w:t>Medziamerickej</w:t>
      </w:r>
      <w:r w:rsidRPr="00432EB5">
        <w:t xml:space="preserve"> komisie pre ľudské práva (IACHR) </w:t>
      </w:r>
      <w:r w:rsidRPr="00432EB5">
        <w:t>Stuardo</w:t>
      </w:r>
      <w:r w:rsidRPr="00432EB5">
        <w:t xml:space="preserve"> </w:t>
      </w:r>
      <w:r w:rsidRPr="00432EB5">
        <w:t>Ralón</w:t>
      </w:r>
      <w:r w:rsidRPr="00432EB5">
        <w:t xml:space="preserve"> </w:t>
      </w:r>
      <w:r w:rsidRPr="00432EB5">
        <w:t>Orellana</w:t>
      </w:r>
      <w:r w:rsidRPr="00432EB5">
        <w:t xml:space="preserve"> a kubánsky opozičný vodca a bývalý politický väzeň José Daniel </w:t>
      </w:r>
      <w:r w:rsidRPr="00432EB5">
        <w:t>Ferrer</w:t>
      </w:r>
      <w:r w:rsidRPr="00432EB5">
        <w:t>,</w:t>
      </w:r>
    </w:p>
    <w:p w:rsidR="00D769FA" w:rsidRPr="00432EB5" w:rsidP="00D769FA" w14:paraId="6F44E81A" w14:textId="77777777">
      <w:pPr>
        <w:pStyle w:val="NormalHanging12a"/>
      </w:pPr>
      <w:r w:rsidRPr="00432EB5">
        <w:t>–</w:t>
      </w:r>
      <w:r w:rsidRPr="00432EB5">
        <w:tab/>
        <w:t xml:space="preserve">so zreteľom na prejavy podpredsedníčky Komisie/vysokej predstaviteľky Únie pre zahraničné veci a bezpečnostnú politiku (PK/VP) </w:t>
      </w:r>
      <w:r w:rsidRPr="00432EB5">
        <w:t>Kaje</w:t>
      </w:r>
      <w:r w:rsidRPr="00432EB5">
        <w:t xml:space="preserve"> </w:t>
      </w:r>
      <w:r w:rsidRPr="00432EB5">
        <w:t>Kallasovej</w:t>
      </w:r>
      <w:r w:rsidRPr="00432EB5">
        <w:t xml:space="preserve"> na plenárnej schôdzi Európskeho parlamentu, najmä na prejavy zo 6. mája 2025 a 19. mája 2026, a na dialógy o ľudských právach medzi EÚ a Kubou,</w:t>
      </w:r>
    </w:p>
    <w:p w:rsidR="00D769FA" w:rsidRPr="00432EB5" w:rsidP="00D769FA" w14:paraId="418918AB" w14:textId="77777777">
      <w:pPr>
        <w:pStyle w:val="NormalHanging12a"/>
      </w:pPr>
      <w:r w:rsidRPr="00432EB5">
        <w:t>–</w:t>
      </w:r>
      <w:r w:rsidRPr="00432EB5">
        <w:tab/>
        <w:t>so zreteľom na vyhlásenie IACHR z 25. marca 2026,</w:t>
      </w:r>
    </w:p>
    <w:p w:rsidR="00D769FA" w:rsidRPr="00432EB5" w:rsidP="00D769FA" w14:paraId="43842F43" w14:textId="77777777">
      <w:pPr>
        <w:pStyle w:val="NormalHanging12a"/>
      </w:pPr>
      <w:r w:rsidRPr="00432EB5">
        <w:t>–</w:t>
      </w:r>
      <w:r w:rsidRPr="00432EB5">
        <w:tab/>
        <w:t xml:space="preserve">so zreteľom na Dohodu o slobode, ktorú 2. marca 2026 v Miami podpísali kubánske opozičné koalície, </w:t>
      </w:r>
      <w:r w:rsidRPr="00432EB5">
        <w:t>Pasos</w:t>
      </w:r>
      <w:r w:rsidRPr="00432EB5">
        <w:t xml:space="preserve"> de </w:t>
      </w:r>
      <w:r w:rsidRPr="00432EB5">
        <w:t>Cambio</w:t>
      </w:r>
      <w:r w:rsidRPr="00432EB5">
        <w:t xml:space="preserve"> a </w:t>
      </w:r>
      <w:r w:rsidRPr="00432EB5">
        <w:t>Asamblea</w:t>
      </w:r>
      <w:r w:rsidRPr="00432EB5">
        <w:t xml:space="preserve"> de la </w:t>
      </w:r>
      <w:r w:rsidRPr="00432EB5">
        <w:t>Resistencia</w:t>
      </w:r>
      <w:r w:rsidRPr="00432EB5">
        <w:t xml:space="preserve"> </w:t>
      </w:r>
      <w:r w:rsidRPr="00432EB5">
        <w:t>Cubana</w:t>
      </w:r>
      <w:r w:rsidRPr="00432EB5">
        <w:t xml:space="preserve"> (ARC),</w:t>
      </w:r>
    </w:p>
    <w:p w:rsidR="00D769FA" w:rsidRPr="00432EB5" w:rsidP="00D769FA" w14:paraId="411600B2" w14:textId="77777777">
      <w:pPr>
        <w:pStyle w:val="NormalHanging12a"/>
        <w:rPr>
          <w:rStyle w:val="doceo-font-family-base"/>
          <w:color w:val="000000"/>
        </w:rPr>
      </w:pPr>
      <w:r w:rsidRPr="00432EB5">
        <w:rPr>
          <w:rStyle w:val="doceo-font-family-base"/>
          <w:color w:val="000000"/>
        </w:rPr>
        <w:t>–</w:t>
      </w:r>
      <w:r w:rsidRPr="00432EB5">
        <w:rPr>
          <w:rStyle w:val="doceo-font-family-base"/>
          <w:color w:val="000000"/>
        </w:rPr>
        <w:tab/>
        <w:t xml:space="preserve">so zreteľom na správu </w:t>
      </w:r>
      <w:r w:rsidRPr="00432EB5">
        <w:rPr>
          <w:rStyle w:val="doceo-font-family-base"/>
          <w:color w:val="000000"/>
        </w:rPr>
        <w:t>Medziamerickej</w:t>
      </w:r>
      <w:r w:rsidRPr="00432EB5">
        <w:rPr>
          <w:rStyle w:val="doceo-font-family-base"/>
          <w:color w:val="000000"/>
        </w:rPr>
        <w:t xml:space="preserve"> komisie pre ľudské práva z 12. júna 2023 o prípade obhajcov práv </w:t>
      </w:r>
      <w:r w:rsidRPr="00432EB5">
        <w:rPr>
          <w:rStyle w:val="doceo-font-family-base"/>
          <w:color w:val="000000"/>
        </w:rPr>
        <w:t>Oswalda</w:t>
      </w:r>
      <w:r w:rsidRPr="00432EB5">
        <w:rPr>
          <w:rStyle w:val="doceo-font-family-base"/>
          <w:color w:val="000000"/>
        </w:rPr>
        <w:t xml:space="preserve"> </w:t>
      </w:r>
      <w:r w:rsidRPr="00432EB5">
        <w:rPr>
          <w:rStyle w:val="doceo-font-family-base"/>
          <w:color w:val="000000"/>
        </w:rPr>
        <w:t>Payáa</w:t>
      </w:r>
      <w:r w:rsidRPr="00432EB5">
        <w:rPr>
          <w:rStyle w:val="doceo-font-family-base"/>
          <w:color w:val="000000"/>
        </w:rPr>
        <w:t xml:space="preserve"> a </w:t>
      </w:r>
      <w:r w:rsidRPr="00432EB5">
        <w:rPr>
          <w:rStyle w:val="doceo-font-family-base"/>
          <w:color w:val="000000"/>
        </w:rPr>
        <w:t>Harolda</w:t>
      </w:r>
      <w:r w:rsidRPr="00432EB5">
        <w:rPr>
          <w:rStyle w:val="doceo-font-family-base"/>
          <w:color w:val="000000"/>
        </w:rPr>
        <w:t xml:space="preserve"> </w:t>
      </w:r>
      <w:r w:rsidRPr="00432EB5">
        <w:rPr>
          <w:rStyle w:val="doceo-font-family-base"/>
          <w:color w:val="000000"/>
        </w:rPr>
        <w:t>Cepera</w:t>
      </w:r>
      <w:r w:rsidRPr="00432EB5">
        <w:rPr>
          <w:rStyle w:val="doceo-font-family-base"/>
          <w:color w:val="000000"/>
        </w:rPr>
        <w:t xml:space="preserve"> na Kube,</w:t>
      </w:r>
    </w:p>
    <w:p w:rsidR="00D769FA" w:rsidRPr="00432EB5" w:rsidP="00D769FA" w14:paraId="042580F6" w14:textId="77777777">
      <w:pPr>
        <w:pStyle w:val="NormalHanging12a"/>
        <w:rPr>
          <w:rStyle w:val="doceo-font-family-base"/>
          <w:color w:val="000000"/>
        </w:rPr>
      </w:pPr>
      <w:r w:rsidRPr="00432EB5">
        <w:rPr>
          <w:rStyle w:val="doceo-font-family-base"/>
          <w:color w:val="000000"/>
        </w:rPr>
        <w:t>–</w:t>
      </w:r>
      <w:r w:rsidRPr="00432EB5">
        <w:rPr>
          <w:rStyle w:val="doceo-font-family-base"/>
          <w:color w:val="000000"/>
        </w:rPr>
        <w:tab/>
        <w:t xml:space="preserve">so zreteľom na obžalobu zverejnenú 20. mája 2026 na Obvodnom súde Spojených štátov amerických pre južný obvod štátu Florida, v ktorej bolo vznesené obvinenie voči </w:t>
      </w:r>
      <w:r w:rsidRPr="00432EB5">
        <w:rPr>
          <w:rStyle w:val="doceo-font-family-base"/>
          <w:color w:val="000000"/>
        </w:rPr>
        <w:t>Raúlovi</w:t>
      </w:r>
      <w:r w:rsidRPr="00432EB5">
        <w:rPr>
          <w:rStyle w:val="doceo-font-family-base"/>
          <w:color w:val="000000"/>
        </w:rPr>
        <w:t xml:space="preserve"> </w:t>
      </w:r>
      <w:r w:rsidRPr="00432EB5">
        <w:rPr>
          <w:rStyle w:val="doceo-font-family-base"/>
          <w:color w:val="000000"/>
        </w:rPr>
        <w:t>Castrovi</w:t>
      </w:r>
      <w:r w:rsidRPr="00432EB5">
        <w:rPr>
          <w:rStyle w:val="doceo-font-family-base"/>
          <w:color w:val="000000"/>
        </w:rPr>
        <w:t xml:space="preserve"> a piatim ďalším predstaviteľom obvineným v súvislosti so zostrelením dvoch civilných lietadiel v roku 1996, ktoré patrili organizácii </w:t>
      </w:r>
      <w:r w:rsidRPr="00432EB5">
        <w:rPr>
          <w:rStyle w:val="doceo-font-family-base"/>
          <w:color w:val="000000"/>
        </w:rPr>
        <w:t>Brothers</w:t>
      </w:r>
      <w:r w:rsidRPr="00432EB5">
        <w:rPr>
          <w:rStyle w:val="doceo-font-family-base"/>
          <w:color w:val="000000"/>
        </w:rPr>
        <w:t xml:space="preserve"> to </w:t>
      </w:r>
      <w:r w:rsidRPr="00432EB5">
        <w:rPr>
          <w:rStyle w:val="doceo-font-family-base"/>
          <w:color w:val="000000"/>
        </w:rPr>
        <w:t>the</w:t>
      </w:r>
      <w:r w:rsidRPr="00432EB5">
        <w:rPr>
          <w:rStyle w:val="doceo-font-family-base"/>
          <w:color w:val="000000"/>
        </w:rPr>
        <w:t xml:space="preserve"> </w:t>
      </w:r>
      <w:r w:rsidRPr="00432EB5">
        <w:rPr>
          <w:rStyle w:val="doceo-font-family-base"/>
          <w:color w:val="000000"/>
        </w:rPr>
        <w:t>Rescue</w:t>
      </w:r>
      <w:r w:rsidRPr="00432EB5">
        <w:rPr>
          <w:rStyle w:val="doceo-font-family-base"/>
          <w:color w:val="000000"/>
        </w:rPr>
        <w:t>,</w:t>
      </w:r>
    </w:p>
    <w:p w:rsidR="00D769FA" w:rsidRPr="00432EB5" w:rsidP="00D769FA" w14:paraId="2DD11E1B" w14:textId="77777777">
      <w:pPr>
        <w:pStyle w:val="NormalHanging12a"/>
      </w:pPr>
      <w:r w:rsidRPr="00432EB5">
        <w:t>–</w:t>
      </w:r>
      <w:r w:rsidRPr="00432EB5">
        <w:tab/>
        <w:t>so zreteľom na článok 136 ods. 2 a ods. 4 rokovacieho poriadku,</w:t>
      </w:r>
    </w:p>
    <w:p w:rsidR="00D769FA" w:rsidRPr="00432EB5" w:rsidP="00D769FA" w14:paraId="4A7CC940" w14:textId="77777777">
      <w:pPr>
        <w:pStyle w:val="NormalHanging12a"/>
      </w:pPr>
      <w:r w:rsidRPr="00432EB5">
        <w:t>A.</w:t>
      </w:r>
      <w:r w:rsidRPr="00432EB5">
        <w:tab/>
        <w:t>keďže vyše päť desaťročí politických a hospodárskych rozhodnutí kubánskeho komunistického režimu priviedlo krajinu do hlbokej krízy poznačenej výpadkami prúdu trvajúcimi až 22 hodín denne, akútnym nedostatkom potravín, vody, paliva a liekov a rozšírenou chudobou, a to v rámci ústavne zakotveného režimu jednej strany, ktorý je pri moci viac ako 67 rokov a v ktorom je komunistická strana jedinou povolenou politickou silou; keďže tento kolaps politického a hospodárskeho modelu založeného na nehybnosti, represiách a odpore voči zmene, umocnený absenciou slobodných a spravodlivých volieb založených na politickej súťaži a zákazom politického pluralizmu, približuje Kubu čoraz viac charakteristikám zlyhávajúceho štátu a predstavuje v tomto regióne protidemokratickú anomáliu;</w:t>
      </w:r>
    </w:p>
    <w:p w:rsidR="00D769FA" w:rsidRPr="00432EB5" w:rsidP="00D769FA" w14:paraId="3041751E" w14:textId="10AD16DC">
      <w:pPr>
        <w:pStyle w:val="NormalHanging12a"/>
      </w:pPr>
      <w:r w:rsidRPr="00432EB5">
        <w:t>B.</w:t>
      </w:r>
      <w:r w:rsidRPr="00432EB5">
        <w:tab/>
        <w:t xml:space="preserve">keďže podľa mimovládnej organizácie </w:t>
      </w:r>
      <w:r w:rsidRPr="00432EB5">
        <w:t>Prisoners</w:t>
      </w:r>
      <w:r w:rsidRPr="00432EB5">
        <w:t xml:space="preserve"> </w:t>
      </w:r>
      <w:r w:rsidRPr="00432EB5">
        <w:t>Defenders</w:t>
      </w:r>
      <w:r w:rsidRPr="00432EB5">
        <w:t xml:space="preserve"> Kuba koncom mája 2026 zadržiavala rekordných 1 281 politických väzňov, medzi ktorými boli aj maloletí, pričom niektorí z nich boli držaní vo väzniciach s maximálnym stupňom stráženia spolu s dospelými, a zdravotný stav mnohých zadržiavaných, medziiným športovcov, umelcov, nezávislých novinárov a pokojných aktivistov, bol veľmi vážny; keďže táto organizácia zdokumentovala systematické mučenie, sexuálne násilie a vyhrážanie sa smrťou zadržaným osobám a v štatisticky reprezentatívnej štúdii zistila, že každý politický väzeň vypočutý v rámci štúdie vrátane maloletých osôb bol mučený a bola mu odopretá lekárska starostlivosť, pričom sa pravidelne opakovalo svojvoľné zadržiavanie v izolácii, nedobrovoľné dočasné zmiznutia a obťažovanie rodín; keďže prípad </w:t>
      </w:r>
      <w:r w:rsidRPr="00432EB5">
        <w:t>Josého</w:t>
      </w:r>
      <w:r w:rsidRPr="00432EB5">
        <w:t xml:space="preserve"> Daniela </w:t>
      </w:r>
      <w:r w:rsidRPr="00432EB5">
        <w:t>Ferrera</w:t>
      </w:r>
      <w:r w:rsidRPr="00432EB5">
        <w:t xml:space="preserve">, zakladateľa Vlasteneckej únie Kuby a väzňa svedomia, ktorého </w:t>
      </w:r>
      <w:r w:rsidRPr="00432EB5">
        <w:t xml:space="preserve">prepustenie </w:t>
      </w:r>
      <w:r w:rsidRPr="00432EB5" w:rsidR="00BA6BF6">
        <w:t>Európsky p</w:t>
      </w:r>
      <w:r w:rsidRPr="00432EB5">
        <w:t>arlament opakovane požadoval, je typickým príkladom metód tohto režimu a v októbri 2025 vyústil do jeho núteného exilu;</w:t>
      </w:r>
    </w:p>
    <w:p w:rsidR="00D769FA" w:rsidRPr="00432EB5" w:rsidP="00D769FA" w14:paraId="5A36C3B5" w14:textId="77777777">
      <w:pPr>
        <w:pStyle w:val="NormalHanging12a"/>
      </w:pPr>
      <w:r w:rsidRPr="00432EB5">
        <w:t>C.</w:t>
      </w:r>
      <w:r w:rsidRPr="00432EB5">
        <w:tab/>
        <w:t>keďže bežní Kubánci sa vo svojom každodennom živote stretávajú s tým, že nemocnice nedokážu normálne fungovať, chýbajú im základné lieky a pacienti si musia priniesť vlastné zásoby, a zároveň čelia chronickému nedostatku potravín, vody a základného tovaru, ktorý sa predáva iba v predajniach, kde sa platí vo valutách a kde si ľudia s bežným štátnym platom nemôžu dovoliť nakupovať; keďže podľa Kubánskeho strediska pre monitorovanie ľudských práv 89 % rodín žije v extrémnej chudobe a 7 z 10 Kubáncov sa nemôže pravidelne najesť, pričom OSN uvádza, že na chirurgický zákrok čaká vyše 96 000 osôb vrátane 11 000 detí a približne 1 milión ľudí je závislých od zásobovania vodou z cisterien, ktoré je obmedzené nedostatkom nafty;</w:t>
      </w:r>
    </w:p>
    <w:p w:rsidR="00D769FA" w:rsidRPr="00432EB5" w:rsidP="00D769FA" w14:paraId="01FEDF5C" w14:textId="77777777">
      <w:pPr>
        <w:pStyle w:val="NormalHanging12a"/>
      </w:pPr>
      <w:r w:rsidRPr="00432EB5">
        <w:t>D.</w:t>
      </w:r>
      <w:r w:rsidRPr="00432EB5">
        <w:tab/>
        <w:t xml:space="preserve">keďže v apríli 2026 EÚ uvoľnila ďalšie 2 milióny EUR na humanitárnu pomoc nad rámec 4 miliónov EUR, ktoré už boli tento rok pridelené karibskej oblasti, na podporu humanitárnych partnerov poskytujúcich naliehavú pomoc najzraniteľnejším osobám; keďže aktualizovaný akčný plán OSN pre Kubu, ktorého cieľom je pomôcť približne dvom miliónom ľudí, je naďalej výrazne </w:t>
      </w:r>
      <w:r w:rsidRPr="00432EB5">
        <w:t>podfinancovaný</w:t>
      </w:r>
      <w:r w:rsidRPr="00432EB5">
        <w:t>, lebo OSN síce zmobilizovala 26,2 milióna USD, no stále chýba 68 miliónov USD;</w:t>
      </w:r>
    </w:p>
    <w:p w:rsidR="00D769FA" w:rsidRPr="00432EB5" w:rsidP="00D769FA" w14:paraId="29CB6F6A" w14:textId="77777777">
      <w:pPr>
        <w:pStyle w:val="NormalHanging12a"/>
      </w:pPr>
      <w:r w:rsidRPr="00432EB5">
        <w:t>E.</w:t>
      </w:r>
      <w:r w:rsidRPr="00432EB5">
        <w:tab/>
        <w:t>keďže kumulatívna inflácia na Kube za posledné štyri roky presahuje 500 % a platy vyplácané štátom pri kurze na čiernom trhu, ktorý je jediným reálnym kurzom na ostrove, zodpovedajú sume v rozmedzí 15 až 25 USD mesačne; keďže vinou režimu sa Kuba stala závislou od dovážaného paliva a vzhľadom na to, že jej tradiční dodávatelia Rusko a Venezuela obmedzili dodávky, energetická kríza sa prehĺbila a v októbri 2024 vyvrcholila úplným kolapsom štátnej elektrizačnej sústavy na niekoľko dní, v dôsledku čoho zostalo 11 miliónov ľudí bez elektriny;</w:t>
      </w:r>
    </w:p>
    <w:p w:rsidR="00D769FA" w:rsidRPr="00432EB5" w:rsidP="00D769FA" w14:paraId="7C7E08AD" w14:textId="77777777">
      <w:pPr>
        <w:pStyle w:val="NormalHanging12a"/>
      </w:pPr>
      <w:r w:rsidRPr="00432EB5">
        <w:t>F.</w:t>
      </w:r>
      <w:r w:rsidRPr="00432EB5">
        <w:tab/>
        <w:t>keďže Kuba ako úrodná tropická krajina, ktorá bola kedysi jedným z najväčších svetových výrobcov cukru, v súčasnosti dováža viac ako 70 % potravín, ktoré konzumuje, pričom tento kolaps je priamym dôsledkom desaťročí kolektivizovaného, štátom kontrolovaného a militarizovaného poľnohospodárstva a neproduktívneho hospodárskeho modelu;</w:t>
      </w:r>
    </w:p>
    <w:p w:rsidR="00D769FA" w:rsidRPr="00432EB5" w:rsidP="00D769FA" w14:paraId="0A1FDD85" w14:textId="77777777">
      <w:pPr>
        <w:pStyle w:val="NormalHanging12a"/>
      </w:pPr>
      <w:r w:rsidRPr="00432EB5">
        <w:t>G.</w:t>
      </w:r>
      <w:r w:rsidRPr="00432EB5">
        <w:tab/>
        <w:t>keďže túto humanitárnu krízu nespôsobilo žiadne vonkajšie embargo, ale je priamym následkom samotného modelu režimu a jeho zlyhaní – militarizácie a štátnej monopolizácie hospodárstva, potláčania súkromného podnikania a presmerovania zdrojov do bezpečnostného aparátu namiesto do potravín, liekov a elektrickej energie, ktoré obyvateľstvo potrebuje; keďže stelesnením tohto modelu je skorumpovaný vojenský konglomerát GAESA, ktorý ovláda takmer polovicu hospodárstva ostrova, nikomu sa nezodpovedá a zmocňuje sa príjmov režimu v tvrdej mene vrátane príjmov z lekárskych misií, ktoré OSN prirovnáva k nútenej práci, a to v situácii, keď nemocnice zostávajú bez základných dodávok; keďže túto krízu nemožno vnímať oddelene od desaťročí štátnych represií a ďalšia nestabilita predstavuje riziko závažnejších humanitárnych, migračných a bezpečnostných dôsledkov;</w:t>
      </w:r>
    </w:p>
    <w:p w:rsidR="00D769FA" w:rsidRPr="00432EB5" w:rsidP="00D769FA" w14:paraId="0381F6C9" w14:textId="5B52AABF">
      <w:pPr>
        <w:pStyle w:val="NormalHanging12a"/>
      </w:pPr>
      <w:r w:rsidRPr="00432EB5">
        <w:t>H.</w:t>
      </w:r>
      <w:r w:rsidRPr="00432EB5">
        <w:tab/>
        <w:t xml:space="preserve">keďže vzťahy medzi EÚ a Kubou sa riadia dohodou o politickom dialógu a spolupráci, ktorej deklarovaným cieľom bolo, aby sa režim postupne otvoril a zlepšil situáciu svojich občanov; keďže takmer deväť rokov po tom, ako </w:t>
      </w:r>
      <w:r w:rsidRPr="00432EB5" w:rsidR="00BA6BF6">
        <w:t>Európsky p</w:t>
      </w:r>
      <w:r w:rsidRPr="00432EB5">
        <w:t xml:space="preserve">arlament udelil súhlas s dohodou o politickom dialógu a spolupráci, sa režim nijako výrazne neotvoril, ale naopak zintenzívnil represie, prenasleduje disent a zvýšil počet politických väzňov, </w:t>
      </w:r>
      <w:r w:rsidRPr="00432EB5">
        <w:t>zatiaľ čo hospodárska situácia sa zhoršila na neprijateľnú úroveň; keďže dohoda neplnila svoj hlavný účel, pričom PK/VP uznala, že dohoda nesplnila svoje ciele, a v súčasnosti je predmetom preskúmania;</w:t>
      </w:r>
    </w:p>
    <w:p w:rsidR="00D769FA" w:rsidRPr="00432EB5" w:rsidP="00D769FA" w14:paraId="2BE52ABA" w14:textId="77777777">
      <w:pPr>
        <w:pStyle w:val="NormalHanging12a"/>
      </w:pPr>
      <w:r w:rsidRPr="00432EB5">
        <w:t>I.</w:t>
      </w:r>
      <w:r w:rsidRPr="00432EB5">
        <w:tab/>
        <w:t>keďže voči vládnemu režimu panuje na ostrove aj mimo neho široký odpor, o čom svedčia opakujúce sa demonštrácie a typické protesty, ktorých účastníci búchajú do hrncov a panvíc (</w:t>
      </w:r>
      <w:r w:rsidRPr="00432EB5">
        <w:rPr>
          <w:i/>
        </w:rPr>
        <w:t>cacerolazo</w:t>
      </w:r>
      <w:r w:rsidRPr="00432EB5">
        <w:t xml:space="preserve">), a tiež najväčší </w:t>
      </w:r>
      <w:r w:rsidRPr="00432EB5">
        <w:t>exodus</w:t>
      </w:r>
      <w:r w:rsidRPr="00432EB5">
        <w:t xml:space="preserve"> v histórii Kuby, keď státisíce ľudí odchádzajú hľadať lepšiu budúcnosť, zatiaľ čo mnohí, ktorí utiekli alebo boli nútení odísť, sa nemôžu vrátiť a zostávajú v exile; keďže jedinou reakciou režimu na požiadavky na zmenu je upevňovanie moci a stupňovanie represií;</w:t>
      </w:r>
    </w:p>
    <w:p w:rsidR="00D769FA" w:rsidRPr="00432EB5" w:rsidP="00D769FA" w14:paraId="11A4F3C5" w14:textId="0D6D3D67">
      <w:pPr>
        <w:pStyle w:val="NormalHanging12a"/>
        <w:rPr>
          <w:bCs/>
        </w:rPr>
      </w:pPr>
      <w:r w:rsidRPr="00432EB5">
        <w:t>J.</w:t>
      </w:r>
      <w:r w:rsidRPr="00432EB5">
        <w:tab/>
        <w:t xml:space="preserve">keďže brutálna a neúprosná represia je jediným mechanizmom, ktorý udržuje režim pri živote; keďže v júli 2021 vyšli do ulíc vo viac ako päťdesiatich mestách tisíce ľudí a skandovali „Slobodu!“; keďže išlo o najväčšiu vlnu protestov od roku 1994, ktorú potlačili policajti v občianskom odeve, polovojenské jednotky a výbory na obranu revolúcie; keďže stovky ľudí boli bezdôvodne zadržané a viac ako 700 osôb bolo súdených v skrátenom konaní, ktoré </w:t>
      </w:r>
      <w:r w:rsidRPr="00432EB5" w:rsidR="00BA6BF6">
        <w:t>Európsky p</w:t>
      </w:r>
      <w:r w:rsidRPr="00432EB5">
        <w:t>arlament odsúdil ako „súdnu frašku“, pričom boli vynesené odňatia slobody až do výšky 25 rokov za pokojné protesty, čo môže predstavovať zločiny proti ľudskosti; keďže odkaz bol zámerne exemplárny: každý, kto protestuje, riskuje svoju prácu, slobodu, rodinu alebo život;</w:t>
      </w:r>
    </w:p>
    <w:p w:rsidR="00D769FA" w:rsidRPr="00432EB5" w:rsidP="00D769FA" w14:paraId="00288A03" w14:textId="77777777">
      <w:pPr>
        <w:pStyle w:val="NormalHanging12a"/>
      </w:pPr>
      <w:r w:rsidRPr="00432EB5">
        <w:t>K.</w:t>
      </w:r>
      <w:r w:rsidRPr="00432EB5">
        <w:tab/>
        <w:t>keďže režim vytrvalo zamieta vstup delegáciám Európskeho parlamentu, osobitným spravodajcom OSN a nezávislým pozorovateľom a trvá na tom, aby boli demokratická opozícia a nezávislá občianska spoločnosť vylúčené z akéhokoľvek politického dialógu;</w:t>
      </w:r>
    </w:p>
    <w:p w:rsidR="00D769FA" w:rsidRPr="00432EB5" w:rsidP="00D769FA" w14:paraId="2E434678" w14:textId="77777777">
      <w:pPr>
        <w:pStyle w:val="NormalHanging12a"/>
      </w:pPr>
      <w:r w:rsidRPr="00432EB5">
        <w:t>L.</w:t>
      </w:r>
      <w:r w:rsidRPr="00432EB5">
        <w:tab/>
        <w:t>keďže v posledných mesiacoch sa uskutočnili rozhovory medzi predstaviteľmi kubánskeho režimu a vládou Spojených štátov, ktorých obsah nebol zverejnený, a keďže režim potvrdil, že tieto rokovania s Washingtonom prebehli; keďže Spojené štáty prijali cielené sankcie voči vysokopostaveným predstaviteľom režimu a inštitúciám jeho bezpečnostného a vojenského aparátu, pričom ako dôvod uviedli represie režimu v rámci krajiny a nepriateľské aktivity v zahraničí; keďže žiadny proces normalizácie vzťahov nesmie prebiehať na úkor ľudských práv a nesmie kubánsky režim zbavovať zodpovednosti;</w:t>
      </w:r>
    </w:p>
    <w:p w:rsidR="00D769FA" w:rsidRPr="00432EB5" w:rsidP="00D769FA" w14:paraId="65F337F8" w14:textId="77777777">
      <w:pPr>
        <w:pStyle w:val="NormalHanging12a"/>
      </w:pPr>
      <w:r w:rsidRPr="00432EB5">
        <w:t>M.</w:t>
      </w:r>
      <w:r w:rsidRPr="00432EB5">
        <w:tab/>
        <w:t>keďže kubánsky režim udržiava úzku vojenskú spoluprácu s Ruskou federáciou vrátane údajného náboru tisícov kubánskych štátnych príslušníkov, aby bojovali v ruskej útočnej vojne proti Ukrajine, čo je nezlučiteľné s duchom dohody o politickom dialógu a spolupráci a v rozpore s bezpečnostnými záujmami EÚ; keďže koncom marca 2026 bolo tankeru vo vlastníctve Ruska, ktorý prevážal odhadom 730 000 barelov ropy, povolené zakotviť na severnom pobreží Kuby;</w:t>
      </w:r>
    </w:p>
    <w:p w:rsidR="00D769FA" w:rsidRPr="00432EB5" w:rsidP="00D769FA" w14:paraId="3EB70D2B" w14:textId="77777777">
      <w:pPr>
        <w:pStyle w:val="NormalHanging12a"/>
      </w:pPr>
      <w:r w:rsidRPr="00432EB5">
        <w:t>N.</w:t>
      </w:r>
      <w:r w:rsidRPr="00432EB5">
        <w:tab/>
        <w:t>keďže 2. marca 2026 viac ako 50 kubánskych opozičných organizácií a organizácií občianskej spoločnosti z ostrova aj zo zahraničia predložilo plán demokratickej transformácie známy ako „Dohoda o oslobodení“, v ktorom sa stanovujú tri fázy, a to oslobodenie, stabilizácia a obnova a demokratizácia, ktoré vyvrcholia slobodnými, spravodlivými voľbami s účasťou viacerých strán pod dohľadom medzinárodného spoločenstva; keďže akúkoľvek transformáciu musia viesť Kubánci a musí zahŕňať všetkých Kubáncov, a to tak na ostrove, ako aj v diaspóre;</w:t>
      </w:r>
    </w:p>
    <w:p w:rsidR="00D769FA" w:rsidRPr="00432EB5" w:rsidP="00D769FA" w14:paraId="0F810FED" w14:textId="77777777">
      <w:pPr>
        <w:pStyle w:val="NormalHanging12a"/>
        <w:rPr>
          <w:bCs/>
          <w:iCs/>
        </w:rPr>
      </w:pPr>
      <w:r w:rsidRPr="00432EB5">
        <w:t>1.</w:t>
      </w:r>
      <w:r w:rsidRPr="00432EB5">
        <w:tab/>
        <w:t xml:space="preserve">čo najdôraznejšie odsudzuje systematické represie kubánskeho režimu, najmä mučenie, sexuálne násilie, vyhrážanie sa smrťou, znemožňovanie prístupu k potravinám, </w:t>
      </w:r>
      <w:r w:rsidRPr="00432EB5">
        <w:t>hromadné sledovanie, nútenú prácu a súdne prenasledovanie politických väzňov, demonštrantov, disidentov, študentov, náboženských vodcov a obhajcov ľudských práv, a väznenie detí; vyjadruje plnú solidaritu s kubánskym ľudom a so všetkými prenasledovanými za obranu svojich základných práv vrátane vedúcich predstaviteľov historickej a vznikajúcej demokratickej opozície a nezávislých občianskych hnutí;</w:t>
      </w:r>
    </w:p>
    <w:p w:rsidR="00D769FA" w:rsidRPr="00432EB5" w:rsidP="00D769FA" w14:paraId="654CC0C0" w14:textId="77777777">
      <w:pPr>
        <w:pStyle w:val="NormalHanging12a"/>
        <w:rPr>
          <w:bCs/>
          <w:iCs/>
        </w:rPr>
      </w:pPr>
      <w:r w:rsidRPr="00432EB5">
        <w:t>2.</w:t>
      </w:r>
      <w:r w:rsidRPr="00432EB5">
        <w:tab/>
        <w:t>požaduje okamžité a bezpodmienečné prepustenie všetkých politických väzňov a všetkých osôb svojvoľne zadržiavaných za uplatňovanie ich základných práv vrátane maloletých osôb, ukončenie mučenia a zlého zaobchádzania, okamžitý prístup k slobodným a spravodlivým súdnym procesom a zdravotnej starostlivosti pre osoby so závažnými ochoreniami a úplné odškodnenie obetí mučenia; žiada, aby kubánsky režim poskytol Medzinárodnému výboru Červeného kríža, osobitným spravodajcom a postupom OSN, delegácii Európskeho parlamentu a nezávislým pozorovateľom neobmedzený prístup do všetkých väzobných zariadení, a vyjadruje poľutovanie nad tým, že to režim opakovane odmieta;</w:t>
      </w:r>
    </w:p>
    <w:p w:rsidR="00D769FA" w:rsidRPr="00432EB5" w:rsidP="00D769FA" w14:paraId="4C8B74CB" w14:textId="77777777">
      <w:pPr>
        <w:pStyle w:val="NormalHanging12a"/>
      </w:pPr>
      <w:r w:rsidRPr="00432EB5">
        <w:t>3.</w:t>
      </w:r>
      <w:r w:rsidRPr="00432EB5">
        <w:tab/>
        <w:t>je presvedčený, že jedinou cestou z ťažkej situácie, ktorú kubánsky ľud prežíva v dôsledku utrpenia, chudoby a izolácie, sú hlboké hospodárske a politické zmeny, ktoré bezodkladne povedú k prechodu na plnohodnotnú pluralitnú demokraciu, v ktorej disidenti nebudú prenasledovaní, väznení, mučení ani vraždení a v ktorej budú dodržiavané základné ľudské práva a slobody na základe celonárodného dialógu, ktorého cieľom bude dosiahnuť transformáciu bez obmedzení;</w:t>
      </w:r>
    </w:p>
    <w:p w:rsidR="00D769FA" w:rsidP="00D769FA" w14:paraId="1D0C70EE" w14:textId="77777777">
      <w:pPr>
        <w:pStyle w:val="NormalHanging12a"/>
      </w:pPr>
      <w:r w:rsidRPr="00432EB5">
        <w:t>4.</w:t>
      </w:r>
      <w:r w:rsidRPr="00432EB5">
        <w:tab/>
        <w:t>naliehavo vyzýva kubánsky režim, aby predložil udržateľné a zmysluplné hospodárske reformy, ktoré zaručia právnu istotu a budú podporovať nezávislé hospodárske subjekty, súkromné iniciatívy, investície a slobody ako základné opatrenia na zabránenie kolapsu;</w:t>
      </w:r>
    </w:p>
    <w:p w:rsidR="00586E8E" w:rsidRPr="00432EB5" w:rsidP="00D769FA" w14:paraId="4D2168E3" w14:textId="5C193D24">
      <w:pPr>
        <w:pStyle w:val="NormalHanging12a"/>
        <w:rPr>
          <w:bCs/>
          <w:iCs/>
        </w:rPr>
      </w:pPr>
      <w:r>
        <w:rPr>
          <w:bCs/>
          <w:iCs/>
        </w:rPr>
        <w:t>5</w:t>
      </w:r>
      <w:r w:rsidRPr="00586E8E">
        <w:rPr>
          <w:bCs/>
          <w:iCs/>
        </w:rPr>
        <w:t>.</w:t>
      </w:r>
      <w:r w:rsidRPr="00586E8E">
        <w:rPr>
          <w:bCs/>
          <w:iCs/>
        </w:rPr>
        <w:tab/>
        <w:t>vyzýva kubánske orgány, aby chránili ľudské práva a zaručili právo na pokojné zhromažďovanie a slobodu prejavu bez diskriminácie na základe politických názorov; dôrazne odsudzuje všetky porušenia občianskych a politických práv a slobôd vrátane bezdôvodného väznenia, zlého zaobchádzania, mučenia, obmedzovania slobody prejavu, združovania a pokojného zhromažďovania, prenasledovania nezávislých novinárov, obhajcov ľudských práv a predstaviteľov občianskej spoločnosti, ako aj neprimeraného uplatňovania trestných sankcií voči pokojným demonštrantom;</w:t>
      </w:r>
    </w:p>
    <w:p w:rsidR="00D769FA" w:rsidRPr="00432EB5" w:rsidP="00D769FA" w14:paraId="0155247F" w14:textId="1EACE834">
      <w:pPr>
        <w:pStyle w:val="NormalHanging12a"/>
      </w:pPr>
      <w:r>
        <w:t>6</w:t>
      </w:r>
      <w:r w:rsidRPr="00432EB5">
        <w:t>.</w:t>
      </w:r>
      <w:r w:rsidRPr="00432EB5">
        <w:tab/>
        <w:t>opakuje svoje predchádzajúce pozície týkajúce sa aktivácie doložky o pozastavení dohody o politickom dialógu a spolupráci a vyzýva PK/VP a členské štáty, aby objasnili, že pokiaľ nebudú podniknuté jasné, konkrétne a významné kroky na zavedenie takýchto zmien</w:t>
      </w:r>
      <w:r>
        <w:t xml:space="preserve"> </w:t>
      </w:r>
      <w:r w:rsidRPr="00432EB5">
        <w:t>vrátane jasného návrhu plánu prechodu k demokracii na Kube, okamžitého a bezpodmienečného prepustenia takmer 1 300 politických väzňov a povolenia pre Kubáncov, ktorí boli nútení opustiť krajinu, aby sa vrátili bez odvetných opatrení, EÚ bezodkladne pristúpi k pozastaveniu dohody o politickom dialógu a spolupráci, ktorú kubánsky režim systematicky porušuje;</w:t>
      </w:r>
    </w:p>
    <w:p w:rsidR="00D769FA" w:rsidRPr="00432EB5" w:rsidP="00D769FA" w14:paraId="3A65BAEF" w14:textId="6A54DC51">
      <w:pPr>
        <w:pStyle w:val="NormalHanging12a"/>
        <w:rPr>
          <w:bCs/>
          <w:iCs/>
        </w:rPr>
      </w:pPr>
      <w:r>
        <w:t>7</w:t>
      </w:r>
      <w:r w:rsidRPr="00432EB5">
        <w:t>.</w:t>
      </w:r>
      <w:r w:rsidRPr="00432EB5">
        <w:tab/>
        <w:t xml:space="preserve">vyzýva na prijatie cielených opatrení podľa globálneho sankčného režimu EÚ v oblasti ľudských práv voči osobám zodpovedným za represie, počnúc najvyššími predstaviteľmi režimu vrátane </w:t>
      </w:r>
      <w:r w:rsidRPr="00432EB5">
        <w:t>Miguela</w:t>
      </w:r>
      <w:r w:rsidRPr="00432EB5">
        <w:t xml:space="preserve"> </w:t>
      </w:r>
      <w:r w:rsidRPr="00432EB5">
        <w:t>Díaza-Canela</w:t>
      </w:r>
      <w:r w:rsidRPr="00432EB5">
        <w:t xml:space="preserve"> a najvyšších funkcionárov bezpečnostného, súdneho a väzenského aparátu, a voči vedeniu konglomerátu GAESA;</w:t>
      </w:r>
    </w:p>
    <w:p w:rsidR="00D769FA" w:rsidRPr="00432EB5" w:rsidP="00D769FA" w14:paraId="6BC12F66" w14:textId="54950FED">
      <w:pPr>
        <w:pStyle w:val="NormalHanging12a"/>
        <w:rPr>
          <w:bCs/>
          <w:iCs/>
        </w:rPr>
      </w:pPr>
      <w:r>
        <w:t>8</w:t>
      </w:r>
      <w:r w:rsidRPr="00432EB5">
        <w:t>.</w:t>
      </w:r>
      <w:r w:rsidRPr="00432EB5">
        <w:tab/>
        <w:t xml:space="preserve">vyzýva kubánsky režim, aby zrušil všetky formy </w:t>
      </w:r>
      <w:r w:rsidRPr="00432EB5">
        <w:t>predtrestných</w:t>
      </w:r>
      <w:r w:rsidRPr="00432EB5">
        <w:t xml:space="preserve"> mechanizmov, ktoré štát využíva na umlčovanie a svojvoľné väznenie občanov, a aby prepustil všetky osoby </w:t>
      </w:r>
      <w:r w:rsidRPr="00432EB5">
        <w:t>odsúdené na základe týchto mechanizmov bez toho, aby spáchali akýkoľvek trestný čin;</w:t>
      </w:r>
    </w:p>
    <w:p w:rsidR="00D769FA" w:rsidRPr="00432EB5" w:rsidP="00D769FA" w14:paraId="6D4459C8" w14:textId="7590E4A4">
      <w:pPr>
        <w:pStyle w:val="NormalHanging12a"/>
        <w:rPr>
          <w:bCs/>
          <w:iCs/>
        </w:rPr>
      </w:pPr>
      <w:r>
        <w:t>9</w:t>
      </w:r>
      <w:r w:rsidRPr="00432EB5">
        <w:t>.</w:t>
      </w:r>
      <w:r w:rsidRPr="00432EB5">
        <w:tab/>
        <w:t>vyzýva na nezávislé medzinárodné vyšetrovanie podmienok vo väzniciach, režimu nútenej podvýživy a úmrtí vo väzbe;</w:t>
      </w:r>
    </w:p>
    <w:p w:rsidR="00D769FA" w:rsidRPr="00432EB5" w:rsidP="00D769FA" w14:paraId="72354610" w14:textId="52A056D9">
      <w:pPr>
        <w:pStyle w:val="NormalHanging12a"/>
        <w:rPr>
          <w:bCs/>
          <w:iCs/>
        </w:rPr>
      </w:pPr>
      <w:r>
        <w:t>10</w:t>
      </w:r>
      <w:r w:rsidRPr="00432EB5">
        <w:t>.</w:t>
      </w:r>
      <w:r w:rsidRPr="00432EB5">
        <w:tab/>
        <w:t xml:space="preserve">odsudzuje materiálnu podporu, ktorú kubánsky režim poskytuje Rusku v jeho útočnej vojne proti Ukrajine, vrátane verbovania kubánskych občanov na boj proti Ukrajine a jeho prehlbujúcu sa vojenskú spoluprácu s Moskvou a trvá na tom, že táto otázka  musí byť ústredným prvkom </w:t>
      </w:r>
      <w:r w:rsidRPr="00432EB5">
        <w:t>únijného</w:t>
      </w:r>
      <w:r w:rsidRPr="00432EB5">
        <w:t xml:space="preserve"> preskúmania vzťahov s Kubou; rovnako odsudzuje spojenie režimu s </w:t>
      </w:r>
      <w:r w:rsidRPr="00432EB5">
        <w:t>Lukašenkovým</w:t>
      </w:r>
      <w:r w:rsidRPr="00432EB5">
        <w:t xml:space="preserve"> režimom v Bielorusku vrátane úzkych vojenských a bezpečnostných väzieb, ktoré oslabujú európsku bezpečnosť;</w:t>
      </w:r>
    </w:p>
    <w:p w:rsidR="00D769FA" w:rsidRPr="00432EB5" w:rsidP="00D769FA" w14:paraId="00CDD01F" w14:textId="6C3092A1">
      <w:pPr>
        <w:pStyle w:val="NormalHanging12a"/>
      </w:pPr>
      <w:r>
        <w:t>11</w:t>
      </w:r>
      <w:r w:rsidRPr="00432EB5">
        <w:t>.</w:t>
      </w:r>
      <w:r w:rsidRPr="00432EB5">
        <w:tab/>
        <w:t>trvá na tom, aby sa nezávislá občianska spoločnosť a demokratická opozícia bez odvetných opatrení zúčastňovali na akomkoľvek dialógu v rámci dohody o politickom dialógu a spolupráci, lebo ich začlenenie si vyžaduje samotná dohoda, a opakuje, že EÚ sa v žiadnom prípade nesmie podieľať na porušovaní ľudských práv na ostrove, a to ani pokiaľ ide o lekárske misie zahŕňajúce nútenú prácu, ktorých zastavenie vo všetkých formách od kubánskeho režimu požaduje;</w:t>
      </w:r>
    </w:p>
    <w:p w:rsidR="00D769FA" w:rsidRPr="00432EB5" w:rsidP="00D769FA" w14:paraId="72B5F5EC" w14:textId="1E76157D">
      <w:pPr>
        <w:pStyle w:val="NormalHanging12a"/>
        <w:rPr>
          <w:bCs/>
          <w:iCs/>
        </w:rPr>
      </w:pPr>
      <w:r>
        <w:t>12</w:t>
      </w:r>
      <w:r w:rsidRPr="00432EB5">
        <w:t>.</w:t>
      </w:r>
      <w:r w:rsidRPr="00432EB5">
        <w:tab/>
        <w:t>vyjadruje najhlbšie a naliehavé znepokojenie nad dramatickým zhoršením životných podmienok na Kube a nad rastúcimi humanitárnymi dôsledkami nedostatočného prístupu k palivu, liekom, potravinám a inému základnému tovaru a verejným službám, ktoré postihujú najmä zraniteľné skupiny; vyzýva Komisiu a členské štáty, aby vytvorili humanitárne koridory, ktoré by dodávali energiu, potraviny a lieky priamo kubánskemu ľudu a nezávislým podnikom, s vylúčením účasti štátu, a vyzýva všetkých darcov, aby zintenzívnili humanitárnu pomoc, ktorá musí zostať chránená, bez štátneho sprostredkovania a nikdy nesmie financovať režim;</w:t>
      </w:r>
    </w:p>
    <w:p w:rsidR="00D769FA" w:rsidRPr="00432EB5" w:rsidP="00D769FA" w14:paraId="49A85592" w14:textId="33231E93">
      <w:pPr>
        <w:pStyle w:val="NormalHanging12a"/>
        <w:rPr>
          <w:bCs/>
          <w:iCs/>
        </w:rPr>
      </w:pPr>
      <w:r>
        <w:t>13</w:t>
      </w:r>
      <w:r w:rsidRPr="00432EB5">
        <w:t>.</w:t>
      </w:r>
      <w:r w:rsidRPr="00432EB5">
        <w:tab/>
        <w:t>je pripravený spolu s medzinárodným spoločenstvom poskytnúť Kube rozsiahlu pomoc prostredníctvom koridorov fungujúcich nezávisle na kubánskom režime hneď, ako začne dôveryhodný prechod k demokracii, aby sa tento ostrov mohol stať prosperujúcim a aby sa zabezpečil blahobyt jeho občanov; vyzýva PK/VP a členské štáty, aby dôsledne poukazovali na tieto prípady na všetkých príslušných fórach a podporovali zodpovednosť a pokojný prechod pod vedením občanov;</w:t>
      </w:r>
    </w:p>
    <w:p w:rsidR="00E365E1" w:rsidRPr="00432EB5" w:rsidP="00BA6BF6" w14:paraId="7B1C3824" w14:textId="6558AFC9">
      <w:pPr>
        <w:pStyle w:val="NormalHanging12a"/>
      </w:pPr>
      <w:r>
        <w:t>14</w:t>
      </w:r>
      <w:r w:rsidRPr="00432EB5" w:rsidR="00D769FA">
        <w:t>.</w:t>
      </w:r>
      <w:r w:rsidRPr="00432EB5" w:rsidR="00D769FA">
        <w:tab/>
        <w:t>poveruje svoju predsedníčku, aby postúpila toto uznesenie Rade, Komisii, rotujúcemu predsedníctvu Rady, podpredsedníčke Komisie/vysokej predstaviteľke Únie pre zahraničné veci a bezpečnostnú politiku, osobitnej zástupkyni EÚ pre ľudské práva, vládam a parlamentom členských štátov, Organizácii amerických štátov, Organizácii Spojených národov, Euro-latinskoamerickému parlamentnému zhromaždeniu, Spoločenstvu štátov Latinskej Ameriky a Karibiku a kubánskemu režimu.</w:t>
      </w:r>
    </w:p>
    <w:sectPr w:rsidSect="00AF6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D12" w14:paraId="3CE0E70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D12" w14:paraId="52553C3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D12" w14:paraId="099750D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D759E" w:rsidRPr="00AF6D12" w14:paraId="2FB02123" w14:textId="77777777">
      <w:r w:rsidRPr="00AF6D12">
        <w:separator/>
      </w:r>
    </w:p>
  </w:footnote>
  <w:footnote w:type="continuationSeparator" w:id="1">
    <w:p w:rsidR="000D759E" w:rsidRPr="00AF6D12" w14:paraId="3511C69E" w14:textId="77777777">
      <w:r w:rsidRPr="00AF6D12">
        <w:continuationSeparator/>
      </w:r>
    </w:p>
  </w:footnote>
  <w:footnote w:id="2">
    <w:p w:rsidR="00D769FA" w:rsidRPr="00AF6D12" w:rsidP="00AF6D12" w14:paraId="3179B9F8" w14:textId="02D85DC3">
      <w:pPr>
        <w:pStyle w:val="FootnoteText"/>
        <w:ind w:left="567" w:hanging="567"/>
        <w:rPr>
          <w:sz w:val="24"/>
          <w:lang w:val="sk-SK"/>
        </w:rPr>
      </w:pPr>
      <w:r w:rsidRPr="00AF6D12">
        <w:rPr>
          <w:rStyle w:val="FootnoteReference"/>
          <w:sz w:val="24"/>
          <w:lang w:val="sk-SK"/>
        </w:rPr>
        <w:footnoteRef/>
      </w:r>
      <w:r w:rsidRPr="00AF6D12" w:rsidR="00AF6D12">
        <w:rPr>
          <w:sz w:val="24"/>
          <w:lang w:val="sk-SK"/>
        </w:rPr>
        <w:t xml:space="preserve"> </w:t>
      </w:r>
      <w:r w:rsidRPr="00AF6D12" w:rsidR="00AF6D12">
        <w:rPr>
          <w:sz w:val="24"/>
          <w:lang w:val="sk-SK"/>
        </w:rPr>
        <w:tab/>
      </w:r>
      <w:r w:rsidRPr="00AF6D12">
        <w:rPr>
          <w:sz w:val="24"/>
          <w:lang w:val="sk-SK"/>
        </w:rPr>
        <w:t xml:space="preserve">Ú. v. EÚ C, C/2024/7213, 10.12.2024, ELI: </w:t>
      </w:r>
      <w:hyperlink r:id="rId1" w:history="1">
        <w:r w:rsidR="00B73EE5">
          <w:rPr>
            <w:rStyle w:val="Hyperlink"/>
            <w:sz w:val="24"/>
            <w:lang w:val="sk-SK"/>
          </w:rPr>
          <w:t>http://data.europa.eu/eli/C/2024/7213/oj</w:t>
        </w:r>
      </w:hyperlink>
      <w:r w:rsidRPr="00AF6D12">
        <w:rPr>
          <w:sz w:val="24"/>
          <w:lang w:val="sk-SK"/>
        </w:rPr>
        <w:t>.</w:t>
      </w:r>
    </w:p>
  </w:footnote>
  <w:footnote w:id="3">
    <w:p w:rsidR="00D769FA" w:rsidRPr="00AF6D12" w:rsidP="00AF6D12" w14:paraId="25E02F7E" w14:textId="562E8054">
      <w:pPr>
        <w:pStyle w:val="FootnoteText"/>
        <w:ind w:left="567" w:hanging="567"/>
        <w:rPr>
          <w:sz w:val="24"/>
          <w:lang w:val="sk-SK"/>
        </w:rPr>
      </w:pPr>
      <w:r w:rsidRPr="00AF6D12">
        <w:rPr>
          <w:rStyle w:val="FootnoteReference"/>
          <w:sz w:val="24"/>
          <w:lang w:val="sk-SK"/>
        </w:rPr>
        <w:footnoteRef/>
      </w:r>
      <w:r w:rsidRPr="00AF6D12" w:rsidR="00AF6D12">
        <w:rPr>
          <w:sz w:val="24"/>
          <w:lang w:val="sk-SK"/>
        </w:rPr>
        <w:t xml:space="preserve"> </w:t>
      </w:r>
      <w:r w:rsidRPr="00AF6D12" w:rsidR="00AF6D12">
        <w:rPr>
          <w:sz w:val="24"/>
          <w:lang w:val="sk-SK"/>
        </w:rPr>
        <w:tab/>
      </w:r>
      <w:r w:rsidRPr="00AF6D12">
        <w:rPr>
          <w:sz w:val="24"/>
          <w:lang w:val="sk-SK"/>
        </w:rPr>
        <w:t xml:space="preserve">Ú. v. EÚ C, C/2024/6748, 26.11.2024, ELI: </w:t>
      </w:r>
      <w:hyperlink r:id="rId2" w:history="1">
        <w:r w:rsidR="00B73EE5">
          <w:rPr>
            <w:rStyle w:val="Hyperlink"/>
            <w:sz w:val="24"/>
            <w:lang w:val="sk-SK"/>
          </w:rPr>
          <w:t>http://data.europa.eu/eli/C/2024/6748/oj</w:t>
        </w:r>
      </w:hyperlink>
      <w:r w:rsidRPr="00AF6D12">
        <w:rPr>
          <w:sz w:val="24"/>
          <w:lang w:val="sk-SK"/>
        </w:rPr>
        <w:t>.</w:t>
      </w:r>
    </w:p>
  </w:footnote>
  <w:footnote w:id="4">
    <w:p w:rsidR="00D769FA" w:rsidRPr="00AF6D12" w:rsidP="00AF6D12" w14:paraId="248ACACB" w14:textId="07F36007">
      <w:pPr>
        <w:pStyle w:val="FootnoteText"/>
        <w:ind w:left="567" w:hanging="567"/>
        <w:rPr>
          <w:sz w:val="24"/>
          <w:lang w:val="sk-SK"/>
        </w:rPr>
      </w:pPr>
      <w:r w:rsidRPr="00AF6D12">
        <w:rPr>
          <w:rStyle w:val="FootnoteReference"/>
          <w:sz w:val="24"/>
          <w:lang w:val="sk-SK"/>
        </w:rPr>
        <w:footnoteRef/>
      </w:r>
      <w:r w:rsidRPr="00AF6D12" w:rsidR="00AF6D12">
        <w:rPr>
          <w:sz w:val="24"/>
          <w:lang w:val="sk-SK"/>
        </w:rPr>
        <w:t xml:space="preserve"> </w:t>
      </w:r>
      <w:r w:rsidRPr="00AF6D12" w:rsidR="00AF6D12">
        <w:rPr>
          <w:sz w:val="24"/>
          <w:lang w:val="sk-SK"/>
        </w:rPr>
        <w:tab/>
      </w:r>
      <w:r w:rsidRPr="00AF6D12">
        <w:rPr>
          <w:sz w:val="24"/>
          <w:lang w:val="sk-SK"/>
        </w:rPr>
        <w:t xml:space="preserve">Ú. v. EÚ C, C/2024/4001, 17.7.2024, ELI: </w:t>
      </w:r>
      <w:hyperlink r:id="rId3" w:history="1">
        <w:r w:rsidR="00B73EE5">
          <w:rPr>
            <w:rStyle w:val="Hyperlink"/>
            <w:sz w:val="24"/>
            <w:lang w:val="sk-SK"/>
          </w:rPr>
          <w:t>http://data.europa.eu/eli/C/2024/4001/oj</w:t>
        </w:r>
      </w:hyperlink>
      <w:r w:rsidRPr="00AF6D12">
        <w:rPr>
          <w:sz w:val="24"/>
          <w:lang w:val="sk-SK"/>
        </w:rPr>
        <w:t>.</w:t>
      </w:r>
    </w:p>
  </w:footnote>
  <w:footnote w:id="5">
    <w:p w:rsidR="00D769FA" w:rsidRPr="00AF6D12" w:rsidP="00AF6D12" w14:paraId="7B92954D" w14:textId="626AC31E">
      <w:pPr>
        <w:pStyle w:val="FootnoteText"/>
        <w:ind w:left="567" w:hanging="567"/>
        <w:rPr>
          <w:sz w:val="24"/>
          <w:lang w:val="sk-SK"/>
        </w:rPr>
      </w:pPr>
      <w:r w:rsidRPr="00AF6D12">
        <w:rPr>
          <w:rStyle w:val="FootnoteReference"/>
          <w:sz w:val="24"/>
          <w:lang w:val="sk-SK"/>
        </w:rPr>
        <w:footnoteRef/>
      </w:r>
      <w:r w:rsidRPr="00AF6D12" w:rsidR="00AF6D12">
        <w:rPr>
          <w:sz w:val="24"/>
          <w:lang w:val="sk-SK"/>
        </w:rPr>
        <w:t xml:space="preserve"> </w:t>
      </w:r>
      <w:r w:rsidRPr="00AF6D12" w:rsidR="00AF6D12">
        <w:rPr>
          <w:sz w:val="24"/>
          <w:lang w:val="sk-SK"/>
        </w:rPr>
        <w:tab/>
      </w:r>
      <w:r w:rsidRPr="00AF6D12">
        <w:rPr>
          <w:sz w:val="24"/>
          <w:lang w:val="sk-SK"/>
        </w:rPr>
        <w:t>Ú. v. EÚ L 337</w:t>
      </w:r>
      <w:r w:rsidR="00B73EE5">
        <w:rPr>
          <w:sz w:val="24"/>
          <w:lang w:val="sk-SK"/>
        </w:rPr>
        <w:t xml:space="preserve"> </w:t>
      </w:r>
      <w:r w:rsidRPr="00AF6D12">
        <w:rPr>
          <w:sz w:val="24"/>
          <w:lang w:val="sk-SK"/>
        </w:rPr>
        <w:t xml:space="preserve">I, 13.12.2016, s. 3., ELI: </w:t>
      </w:r>
      <w:hyperlink r:id="rId4" w:history="1">
        <w:r w:rsidR="00B73EE5">
          <w:rPr>
            <w:rStyle w:val="Hyperlink"/>
            <w:sz w:val="24"/>
            <w:lang w:val="sk-SK"/>
          </w:rPr>
          <w:t>http://data.europa.eu/eli/agree_internation/2016/2232/oj</w:t>
        </w:r>
      </w:hyperlink>
      <w:r w:rsidRPr="00AF6D12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D12" w14:paraId="2D9C136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D12" w14:paraId="063433F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F6D12" w14:paraId="528CE8E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1446550">
    <w:abstractNumId w:val="9"/>
  </w:num>
  <w:num w:numId="2" w16cid:durableId="1500541374">
    <w:abstractNumId w:val="9"/>
  </w:num>
  <w:num w:numId="3" w16cid:durableId="1818378438">
    <w:abstractNumId w:val="7"/>
  </w:num>
  <w:num w:numId="4" w16cid:durableId="2033259208">
    <w:abstractNumId w:val="7"/>
  </w:num>
  <w:num w:numId="5" w16cid:durableId="1376808808">
    <w:abstractNumId w:val="6"/>
  </w:num>
  <w:num w:numId="6" w16cid:durableId="43674586">
    <w:abstractNumId w:val="6"/>
  </w:num>
  <w:num w:numId="7" w16cid:durableId="1236664437">
    <w:abstractNumId w:val="5"/>
  </w:num>
  <w:num w:numId="8" w16cid:durableId="1782534016">
    <w:abstractNumId w:val="5"/>
  </w:num>
  <w:num w:numId="9" w16cid:durableId="804812315">
    <w:abstractNumId w:val="4"/>
  </w:num>
  <w:num w:numId="10" w16cid:durableId="2132743562">
    <w:abstractNumId w:val="4"/>
  </w:num>
  <w:num w:numId="11" w16cid:durableId="428040270">
    <w:abstractNumId w:val="8"/>
  </w:num>
  <w:num w:numId="12" w16cid:durableId="70661669">
    <w:abstractNumId w:val="8"/>
  </w:num>
  <w:num w:numId="13" w16cid:durableId="113526878">
    <w:abstractNumId w:val="3"/>
  </w:num>
  <w:num w:numId="14" w16cid:durableId="1847671657">
    <w:abstractNumId w:val="3"/>
  </w:num>
  <w:num w:numId="15" w16cid:durableId="665286085">
    <w:abstractNumId w:val="2"/>
  </w:num>
  <w:num w:numId="16" w16cid:durableId="24867802">
    <w:abstractNumId w:val="2"/>
  </w:num>
  <w:num w:numId="17" w16cid:durableId="661274303">
    <w:abstractNumId w:val="1"/>
  </w:num>
  <w:num w:numId="18" w16cid:durableId="57097602">
    <w:abstractNumId w:val="1"/>
  </w:num>
  <w:num w:numId="19" w16cid:durableId="658921392">
    <w:abstractNumId w:val="0"/>
  </w:num>
  <w:num w:numId="20" w16cid:durableId="1964581352">
    <w:abstractNumId w:val="0"/>
  </w:num>
  <w:num w:numId="21" w16cid:durableId="962686234">
    <w:abstractNumId w:val="9"/>
  </w:num>
  <w:num w:numId="22" w16cid:durableId="1289972338">
    <w:abstractNumId w:val="7"/>
  </w:num>
  <w:num w:numId="23" w16cid:durableId="2122527522">
    <w:abstractNumId w:val="6"/>
  </w:num>
  <w:num w:numId="24" w16cid:durableId="833761244">
    <w:abstractNumId w:val="5"/>
  </w:num>
  <w:num w:numId="25" w16cid:durableId="470483759">
    <w:abstractNumId w:val="4"/>
  </w:num>
  <w:num w:numId="26" w16cid:durableId="12459990">
    <w:abstractNumId w:val="8"/>
  </w:num>
  <w:num w:numId="27" w16cid:durableId="421725180">
    <w:abstractNumId w:val="3"/>
  </w:num>
  <w:num w:numId="28" w16cid:durableId="384833834">
    <w:abstractNumId w:val="2"/>
  </w:num>
  <w:num w:numId="29" w16cid:durableId="531377862">
    <w:abstractNumId w:val="1"/>
  </w:num>
  <w:num w:numId="30" w16cid:durableId="876742311">
    <w:abstractNumId w:val="0"/>
  </w:num>
  <w:num w:numId="31" w16cid:durableId="1017846921">
    <w:abstractNumId w:val="9"/>
  </w:num>
  <w:num w:numId="32" w16cid:durableId="1274944366">
    <w:abstractNumId w:val="7"/>
  </w:num>
  <w:num w:numId="33" w16cid:durableId="406810324">
    <w:abstractNumId w:val="6"/>
  </w:num>
  <w:num w:numId="34" w16cid:durableId="581725256">
    <w:abstractNumId w:val="5"/>
  </w:num>
  <w:num w:numId="35" w16cid:durableId="1708096084">
    <w:abstractNumId w:val="4"/>
  </w:num>
  <w:num w:numId="36" w16cid:durableId="1625580254">
    <w:abstractNumId w:val="8"/>
  </w:num>
  <w:num w:numId="37" w16cid:durableId="1372271038">
    <w:abstractNumId w:val="3"/>
  </w:num>
  <w:num w:numId="38" w16cid:durableId="295721976">
    <w:abstractNumId w:val="2"/>
  </w:num>
  <w:num w:numId="39" w16cid:durableId="680932586">
    <w:abstractNumId w:val="1"/>
  </w:num>
  <w:num w:numId="40" w16cid:durableId="316225216">
    <w:abstractNumId w:val="0"/>
  </w:num>
  <w:num w:numId="41" w16cid:durableId="1646010349">
    <w:abstractNumId w:val="10"/>
  </w:num>
  <w:num w:numId="42" w16cid:durableId="1874147139">
    <w:abstractNumId w:val="10"/>
  </w:num>
  <w:num w:numId="43" w16cid:durableId="1868837312">
    <w:abstractNumId w:val="10"/>
  </w:num>
  <w:num w:numId="44" w16cid:durableId="17040144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9E"/>
    <w:rsid w:val="00002272"/>
    <w:rsid w:val="00064002"/>
    <w:rsid w:val="000677B9"/>
    <w:rsid w:val="000831BA"/>
    <w:rsid w:val="000A42CC"/>
    <w:rsid w:val="000D759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4A0"/>
    <w:rsid w:val="00411CCE"/>
    <w:rsid w:val="0041666E"/>
    <w:rsid w:val="00421060"/>
    <w:rsid w:val="00432EB5"/>
    <w:rsid w:val="00471C19"/>
    <w:rsid w:val="00476E0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E8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AE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9BD"/>
    <w:rsid w:val="00A778C7"/>
    <w:rsid w:val="00AB441E"/>
    <w:rsid w:val="00AB6293"/>
    <w:rsid w:val="00AE0928"/>
    <w:rsid w:val="00AF3B82"/>
    <w:rsid w:val="00AF6D12"/>
    <w:rsid w:val="00B12E95"/>
    <w:rsid w:val="00B22876"/>
    <w:rsid w:val="00B558F0"/>
    <w:rsid w:val="00B73EE5"/>
    <w:rsid w:val="00BA6BF6"/>
    <w:rsid w:val="00BD48FE"/>
    <w:rsid w:val="00BD7BD8"/>
    <w:rsid w:val="00BE6ADC"/>
    <w:rsid w:val="00C05BFE"/>
    <w:rsid w:val="00C23CD4"/>
    <w:rsid w:val="00C61C0C"/>
    <w:rsid w:val="00C941CB"/>
    <w:rsid w:val="00CB6D25"/>
    <w:rsid w:val="00CC2357"/>
    <w:rsid w:val="00CF071A"/>
    <w:rsid w:val="00D058B8"/>
    <w:rsid w:val="00D56C11"/>
    <w:rsid w:val="00D769F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87713"/>
    <w:rsid w:val="00FB4360"/>
    <w:rsid w:val="00FD0C70"/>
  </w:rsids>
  <w:docVars>
    <w:docVar w:name="dvdocse" w:val="B10-0285, 0285 a 0291/2026"/>
    <w:docVar w:name="dvlangue" w:val="SK"/>
    <w:docVar w:name="dvnumam" w:val="0"/>
    <w:docVar w:name="dvpe" w:val="783.341"/>
    <w:docVar w:name="dvtitre" w:val="Uznesenie Európskeho parlamentu z/zo xx. xxx 2026 o politických represiách a humanitárnej situácii na Kube(2026/273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1F2269"/>
  <w15:chartTrackingRefBased/>
  <w15:docId w15:val="{B136D64F-E3E7-4530-95D9-1A628630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69F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769FA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769FA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rsid w:val="00D769FA"/>
    <w:rPr>
      <w:sz w:val="24"/>
      <w:lang w:val="sk-SK"/>
    </w:rPr>
  </w:style>
  <w:style w:type="character" w:customStyle="1" w:styleId="doceo-font-family-base">
    <w:name w:val="doceo-font-family-base"/>
    <w:basedOn w:val="DefaultParagraphFont"/>
    <w:rsid w:val="00D769FA"/>
  </w:style>
  <w:style w:type="paragraph" w:styleId="Revision">
    <w:name w:val="Revision"/>
    <w:hidden/>
    <w:uiPriority w:val="99"/>
    <w:semiHidden/>
    <w:rsid w:val="00BA6BF6"/>
    <w:rPr>
      <w:sz w:val="24"/>
      <w:lang w:val="sk-SK"/>
    </w:rPr>
  </w:style>
  <w:style w:type="character" w:styleId="Hyperlink">
    <w:name w:val="Hyperlink"/>
    <w:basedOn w:val="DefaultParagraphFont"/>
    <w:rsid w:val="00B73E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3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7213/oj" TargetMode="External" /><Relationship Id="rId2" Type="http://schemas.openxmlformats.org/officeDocument/2006/relationships/hyperlink" Target="http://data.europa.eu/eli/C/2024/6748/oj" TargetMode="External" /><Relationship Id="rId3" Type="http://schemas.openxmlformats.org/officeDocument/2006/relationships/hyperlink" Target="http://data.europa.eu/eli/C/2024/4001/oj" TargetMode="External" /><Relationship Id="rId4" Type="http://schemas.openxmlformats.org/officeDocument/2006/relationships/hyperlink" Target="http://data.europa.eu/eli/agree_internation/2016/223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2525</Words>
  <Characters>15617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2026-07-23T09:08:00Z</dcterms:created>
  <dcterms:modified xsi:type="dcterms:W3CDTF">2026-07-23T09:08:00Z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B10-0285, 0285 a 0291/2026</vt:lpwstr>
  </property>
  <property fmtid="{D5CDD505-2E9C-101B-9397-08002B2CF9AE}" pid="4" name="&lt;Type&gt;">
    <vt:lpwstr>RR</vt:lpwstr>
  </property>
</Properties>
</file>