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7B827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63C1" w:rsidP="0010095E" w14:paraId="64F417B7" w14:textId="27A99CA9">
            <w:pPr>
              <w:pStyle w:val="EPName"/>
            </w:pPr>
            <w:r w:rsidRPr="006463C1">
              <w:t>Европейски</w:t>
            </w:r>
            <w:r w:rsidRPr="006463C1" w:rsidR="00B27808">
              <w:t xml:space="preserve"> парламент</w:t>
            </w:r>
          </w:p>
          <w:p w:rsidR="00751A4A" w:rsidRPr="006463C1" w:rsidP="005F1B17" w14:paraId="033EC211" w14:textId="00ACFCC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3C1">
              <w:t>2024</w:t>
            </w:r>
            <w:r w:rsidR="008B55F3">
              <w:t> – </w:t>
            </w:r>
            <w:r w:rsidRPr="006463C1" w:rsidR="00817416">
              <w:t>202</w:t>
            </w:r>
            <w:r w:rsidRPr="006463C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63C1" w:rsidP="0010095E" w14:paraId="19A7BFF3" w14:textId="77777777">
            <w:pPr>
              <w:pStyle w:val="EPLogo"/>
            </w:pPr>
            <w:r w:rsidRPr="006463C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63C1" w:rsidP="004C5D52" w14:paraId="444971D0" w14:textId="77777777">
      <w:pPr>
        <w:pStyle w:val="LineTop"/>
      </w:pPr>
    </w:p>
    <w:p w:rsidR="00680577" w:rsidRPr="006463C1" w:rsidP="00680577" w14:paraId="50A01D31" w14:textId="77777777">
      <w:pPr>
        <w:pStyle w:val="EPBodyTA1"/>
      </w:pPr>
      <w:r w:rsidRPr="006463C1">
        <w:t>ПРИЕТИ ТЕКСТОВЕ</w:t>
      </w:r>
    </w:p>
    <w:p w:rsidR="00D058B8" w:rsidRPr="006463C1" w:rsidP="00D058B8" w14:paraId="298CB878" w14:textId="77777777">
      <w:pPr>
        <w:pStyle w:val="LineBottom"/>
      </w:pPr>
    </w:p>
    <w:p w:rsidR="00B27808" w:rsidRPr="006463C1" w:rsidP="00B27808" w14:paraId="168D9B01" w14:textId="570411A0">
      <w:pPr>
        <w:pStyle w:val="ATHeading1"/>
      </w:pPr>
      <w:bookmarkStart w:id="0" w:name="TANumber"/>
      <w:r w:rsidRPr="006463C1">
        <w:t>P10_TA(2026)0</w:t>
      </w:r>
      <w:r w:rsidR="00352A0C">
        <w:t>230</w:t>
      </w:r>
      <w:bookmarkEnd w:id="0"/>
    </w:p>
    <w:p w:rsidR="00B27808" w:rsidRPr="006463C1" w:rsidP="00B27808" w14:paraId="51802CCF" w14:textId="77777777">
      <w:pPr>
        <w:pStyle w:val="ATHeading2"/>
      </w:pPr>
      <w:bookmarkStart w:id="1" w:name="title"/>
      <w:r w:rsidRPr="006463C1">
        <w:t>Вербуване на деца от страна на организираната престъпност</w:t>
      </w:r>
      <w:bookmarkEnd w:id="1"/>
    </w:p>
    <w:p w:rsidR="00B27808" w:rsidRPr="006463C1" w:rsidP="00B27808" w14:paraId="3D43EAEC" w14:textId="77777777">
      <w:pPr>
        <w:rPr>
          <w:i/>
          <w:vanish/>
        </w:rPr>
      </w:pPr>
      <w:r>
        <w:rPr>
          <w:i/>
        </w:rPr>
        <w:fldChar w:fldCharType="begin"/>
      </w:r>
      <w:r w:rsidRPr="006463C1">
        <w:rPr>
          <w:i/>
        </w:rPr>
        <w:instrText xml:space="preserve"> TC"(</w:instrText>
      </w:r>
      <w:bookmarkStart w:id="2" w:name="DocNumber"/>
      <w:r w:rsidRPr="006463C1">
        <w:rPr>
          <w:i/>
        </w:rPr>
        <w:instrText>B10-0275/2026</w:instrText>
      </w:r>
      <w:bookmarkEnd w:id="2"/>
      <w:r w:rsidRPr="006463C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27808" w:rsidRPr="006463C1" w:rsidP="00B27808" w14:paraId="719844E3" w14:textId="77777777">
      <w:pPr>
        <w:rPr>
          <w:vanish/>
        </w:rPr>
      </w:pPr>
      <w:bookmarkStart w:id="3" w:name="PE"/>
      <w:r w:rsidRPr="006463C1">
        <w:rPr>
          <w:vanish/>
        </w:rPr>
        <w:t>PE783.329</w:t>
      </w:r>
      <w:bookmarkEnd w:id="3"/>
    </w:p>
    <w:p w:rsidR="00B27808" w:rsidRPr="006463C1" w:rsidP="008B55F3" w14:paraId="4810BDDB" w14:textId="7CCC4EE4">
      <w:pPr>
        <w:pStyle w:val="ATHeading3"/>
      </w:pPr>
      <w:bookmarkStart w:id="4" w:name="Sujet"/>
      <w:r w:rsidRPr="006463C1">
        <w:t xml:space="preserve">Резолюция на Европейския парламент от </w:t>
      </w:r>
      <w:r w:rsidR="009E229E">
        <w:t>18 юни</w:t>
      </w:r>
      <w:r w:rsidRPr="006463C1" w:rsidR="009E229E">
        <w:t xml:space="preserve"> </w:t>
      </w:r>
      <w:r w:rsidRPr="006463C1">
        <w:t>2026 г. относно вербуването на деца от страна на организираната престъпност</w:t>
      </w:r>
      <w:bookmarkEnd w:id="4"/>
      <w:r w:rsidRPr="006463C1">
        <w:t xml:space="preserve"> </w:t>
      </w:r>
      <w:bookmarkStart w:id="5" w:name="References"/>
      <w:r w:rsidRPr="006463C1">
        <w:t>(2026/2725(RSP))</w:t>
      </w:r>
      <w:bookmarkEnd w:id="5"/>
    </w:p>
    <w:p w:rsidR="00F35C0B" w:rsidRPr="006463C1" w:rsidP="00F35C0B" w14:paraId="263BF0BD" w14:textId="77777777">
      <w:pPr>
        <w:pStyle w:val="EPComma"/>
      </w:pPr>
      <w:bookmarkStart w:id="6" w:name="TextBodyBegin"/>
      <w:bookmarkEnd w:id="6"/>
      <w:r w:rsidRPr="006463C1">
        <w:rPr>
          <w:i/>
          <w:iCs/>
        </w:rPr>
        <w:t>Европейският парламент</w:t>
      </w:r>
      <w:r w:rsidRPr="006463C1">
        <w:t>,</w:t>
      </w:r>
    </w:p>
    <w:p w:rsidR="00F35C0B" w:rsidRPr="006463C1" w:rsidP="00F35C0B" w14:paraId="648F432C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Конвенцията на ООН за правата на детето,</w:t>
      </w:r>
    </w:p>
    <w:p w:rsidR="00F35C0B" w:rsidRPr="006463C1" w:rsidP="00F35C0B" w14:paraId="6710D7E2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Резолюция 79/188 на Общото събрание на ООН относно предотвратяването и борбата с насилието срещу деца от страна на организирани престъпни групи и терористични групи във връзка с предотвратяването на престъпления и с наказателното правосъдие,</w:t>
      </w:r>
    </w:p>
    <w:p w:rsidR="00F35C0B" w:rsidRPr="006463C1" w:rsidP="00F35C0B" w14:paraId="0C36DE55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Резолюция 2024/12 на Икономическия и социален съвет на ООН относно третирането на деца, свързани с терористични групи, включително деца, които се вербуват и експлоатират от тези групи,</w:t>
      </w:r>
    </w:p>
    <w:p w:rsidR="00F35C0B" w:rsidRPr="006463C1" w:rsidP="00F35C0B" w14:paraId="2FFC2591" w14:textId="5B0683B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съобщението на Комисията от 1 април 2025 г., озаглавено „</w:t>
      </w:r>
      <w:r w:rsidRPr="006463C1">
        <w:t>ProtectEU</w:t>
      </w:r>
      <w:r w:rsidRPr="006463C1">
        <w:t xml:space="preserve"> 2025 – 2030: европейска стратегия за вътрешна сигурност“ (COM(2025)0148),</w:t>
      </w:r>
    </w:p>
    <w:p w:rsidR="00F35C0B" w:rsidRPr="006463C1" w:rsidP="00F35C0B" w14:paraId="7739F879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доклада на Европол, озаглавен „</w:t>
      </w:r>
      <w:r w:rsidRPr="006463C1">
        <w:t>European</w:t>
      </w:r>
      <w:r w:rsidRPr="006463C1">
        <w:t xml:space="preserve"> Union </w:t>
      </w:r>
      <w:r w:rsidRPr="006463C1">
        <w:t>Serious</w:t>
      </w:r>
      <w:r w:rsidRPr="006463C1">
        <w:t xml:space="preserve"> </w:t>
      </w:r>
      <w:r w:rsidRPr="006463C1">
        <w:t>and</w:t>
      </w:r>
      <w:r w:rsidRPr="006463C1">
        <w:t xml:space="preserve"> </w:t>
      </w:r>
      <w:r w:rsidRPr="006463C1">
        <w:t>Organised</w:t>
      </w:r>
      <w:r w:rsidRPr="006463C1">
        <w:t xml:space="preserve"> </w:t>
      </w:r>
      <w:r w:rsidRPr="006463C1">
        <w:t>Crime</w:t>
      </w:r>
      <w:r w:rsidRPr="006463C1">
        <w:t xml:space="preserve"> </w:t>
      </w:r>
      <w:r w:rsidRPr="006463C1">
        <w:t>Threat</w:t>
      </w:r>
      <w:r w:rsidRPr="006463C1">
        <w:t xml:space="preserve"> </w:t>
      </w:r>
      <w:r w:rsidRPr="006463C1">
        <w:t>Assessment</w:t>
      </w:r>
      <w:r w:rsidRPr="006463C1">
        <w:t xml:space="preserve"> (EU-SOCTA) 2025“ (Оценка на заплахата за ЕС от тежка и организирана престъпност (EU-SOCTA) за 2025 г.),</w:t>
      </w:r>
    </w:p>
    <w:p w:rsidR="00F35C0B" w:rsidRPr="006463C1" w:rsidP="00F35C0B" w14:paraId="05FE4122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>като взе предвид предстоящия план за действие на ЕС относно защитата на децата от престъпления,</w:t>
      </w:r>
    </w:p>
    <w:p w:rsidR="00F35C0B" w:rsidRPr="006463C1" w:rsidP="00F35C0B" w14:paraId="06155C8B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 xml:space="preserve">като взе предвид проекта STRIVE </w:t>
      </w:r>
      <w:r w:rsidRPr="006463C1">
        <w:t>Juvenile</w:t>
      </w:r>
      <w:r w:rsidRPr="006463C1">
        <w:t xml:space="preserve"> на ЕС и Службата на ООН по наркотиците и престъпността (СНПООН) и констатациите от неговата оценка,</w:t>
      </w:r>
    </w:p>
    <w:p w:rsidR="00F35C0B" w:rsidRPr="006463C1" w:rsidP="00F35C0B" w14:paraId="7C8BF3E5" w14:textId="77777777">
      <w:pPr>
        <w:pStyle w:val="NormalHanging12a"/>
      </w:pPr>
      <w:bookmarkStart w:id="7" w:name="_Hlk231207339"/>
      <w:r w:rsidRPr="006463C1">
        <w:rPr>
          <w:snapToGrid w:val="0"/>
        </w:rPr>
        <w:t>–</w:t>
      </w:r>
      <w:r w:rsidRPr="006463C1">
        <w:rPr>
          <w:snapToGrid w:val="0"/>
        </w:rPr>
        <w:tab/>
      </w:r>
      <w:r w:rsidRPr="006463C1">
        <w:t>като взе предвид Регламент (ЕС) 2022/2065 на Европейския парламент и на Съвета от 19 октомври 2022 г. относно единния пазар на цифрови услуги и за изменение на Директива 2000/31/ЕО (Акт за цифровите услуги)</w:t>
      </w:r>
      <w:r>
        <w:rPr>
          <w:rStyle w:val="FootnoteReference"/>
        </w:rPr>
        <w:footnoteReference w:id="2"/>
      </w:r>
      <w:r w:rsidRPr="006463C1">
        <w:t xml:space="preserve">, и по-специално неговите разпоредби относно защитата на малолетните и непълнолетните лица онлайн, оценката и смекчаването на системните рискове, свързани с незаконното </w:t>
      </w:r>
      <w:r w:rsidRPr="006463C1">
        <w:t>съдържание и вредното онлайн поведение, системите за препоръчване и отговорностите на много големите онлайн платформи и търсачки,</w:t>
      </w:r>
    </w:p>
    <w:p w:rsidR="00F35C0B" w:rsidRPr="006463C1" w:rsidP="00F35C0B" w14:paraId="20188943" w14:textId="77777777">
      <w:pPr>
        <w:pStyle w:val="NormalHanging12a"/>
      </w:pPr>
      <w:r w:rsidRPr="006463C1">
        <w:rPr>
          <w:snapToGrid w:val="0"/>
        </w:rPr>
        <w:t>–</w:t>
      </w:r>
      <w:r w:rsidRPr="006463C1">
        <w:rPr>
          <w:snapToGrid w:val="0"/>
        </w:rPr>
        <w:tab/>
      </w:r>
      <w:r w:rsidRPr="006463C1">
        <w:t>като взе предвид насоките на Комисията съгласно Акта за цифровите услуги относно защитата на малолетните и непълнолетните лица от 14 юли 2025 г.</w:t>
      </w:r>
      <w:r>
        <w:rPr>
          <w:rStyle w:val="FootnoteReference"/>
        </w:rPr>
        <w:footnoteReference w:id="3"/>
      </w:r>
      <w:r w:rsidRPr="006463C1">
        <w:t>,</w:t>
      </w:r>
    </w:p>
    <w:p w:rsidR="00F35C0B" w:rsidRPr="006463C1" w:rsidP="00F35C0B" w14:paraId="6856868F" w14:textId="77777777">
      <w:pPr>
        <w:pStyle w:val="NormalHanging12a"/>
      </w:pPr>
      <w:r w:rsidRPr="006463C1">
        <w:rPr>
          <w:snapToGrid w:val="0"/>
        </w:rPr>
        <w:t>–</w:t>
      </w:r>
      <w:r w:rsidRPr="006463C1">
        <w:rPr>
          <w:snapToGrid w:val="0"/>
        </w:rPr>
        <w:tab/>
      </w:r>
      <w:r w:rsidRPr="006463C1">
        <w:t>като взе предвид разузнавателното уведомление на Европол от 12 ноември 2024 г., озаглавено „</w:t>
      </w:r>
      <w:r w:rsidRPr="006463C1">
        <w:t>The</w:t>
      </w:r>
      <w:r w:rsidRPr="006463C1">
        <w:t xml:space="preserve"> </w:t>
      </w:r>
      <w:r w:rsidRPr="006463C1">
        <w:t>recruitment</w:t>
      </w:r>
      <w:r w:rsidRPr="006463C1">
        <w:t xml:space="preserve"> </w:t>
      </w:r>
      <w:r w:rsidRPr="006463C1">
        <w:t>of</w:t>
      </w:r>
      <w:r w:rsidRPr="006463C1">
        <w:t xml:space="preserve"> </w:t>
      </w:r>
      <w:r w:rsidRPr="006463C1">
        <w:t>young</w:t>
      </w:r>
      <w:r w:rsidRPr="006463C1">
        <w:t xml:space="preserve"> </w:t>
      </w:r>
      <w:r w:rsidRPr="006463C1">
        <w:t>perpetrators</w:t>
      </w:r>
      <w:r w:rsidRPr="006463C1">
        <w:t xml:space="preserve"> </w:t>
      </w:r>
      <w:r w:rsidRPr="006463C1">
        <w:t>for</w:t>
      </w:r>
      <w:r w:rsidRPr="006463C1">
        <w:t xml:space="preserve"> </w:t>
      </w:r>
      <w:r w:rsidRPr="006463C1">
        <w:t>criminal</w:t>
      </w:r>
      <w:r w:rsidRPr="006463C1">
        <w:t xml:space="preserve"> </w:t>
      </w:r>
      <w:r w:rsidRPr="006463C1">
        <w:t>networks</w:t>
      </w:r>
      <w:r w:rsidRPr="006463C1">
        <w:t>“ (Вербуването на млади извършители на престъпления за престъпните мрежи),</w:t>
      </w:r>
    </w:p>
    <w:p w:rsidR="00F35C0B" w:rsidRPr="006463C1" w:rsidP="00F35C0B" w14:paraId="5A751721" w14:textId="77777777">
      <w:pPr>
        <w:pStyle w:val="NormalHanging12a"/>
      </w:pPr>
      <w:r w:rsidRPr="006463C1">
        <w:rPr>
          <w:snapToGrid w:val="0"/>
        </w:rPr>
        <w:t>–</w:t>
      </w:r>
      <w:r w:rsidRPr="006463C1">
        <w:rPr>
          <w:snapToGrid w:val="0"/>
        </w:rPr>
        <w:tab/>
      </w:r>
      <w:r w:rsidRPr="006463C1">
        <w:t>като взе предвид работния документ на УНИЦЕФ „</w:t>
      </w:r>
      <w:r w:rsidRPr="006463C1">
        <w:t>Innocenti</w:t>
      </w:r>
      <w:r w:rsidRPr="006463C1">
        <w:t>“ – Глобалната служба за научни изследвания и прогнози, от септември 2024 г., озаглавен „</w:t>
      </w:r>
      <w:r w:rsidRPr="006463C1">
        <w:t>Children’s</w:t>
      </w:r>
      <w:r w:rsidRPr="006463C1">
        <w:t xml:space="preserve"> </w:t>
      </w:r>
      <w:r w:rsidRPr="006463C1">
        <w:t>Involvement</w:t>
      </w:r>
      <w:r w:rsidRPr="006463C1">
        <w:t xml:space="preserve"> </w:t>
      </w:r>
      <w:r w:rsidRPr="006463C1">
        <w:t>in</w:t>
      </w:r>
      <w:r w:rsidRPr="006463C1">
        <w:t xml:space="preserve"> </w:t>
      </w:r>
      <w:r w:rsidRPr="006463C1">
        <w:t>Organized</w:t>
      </w:r>
      <w:r w:rsidRPr="006463C1">
        <w:t xml:space="preserve"> </w:t>
      </w:r>
      <w:r w:rsidRPr="006463C1">
        <w:t>Violence</w:t>
      </w:r>
      <w:r w:rsidRPr="006463C1">
        <w:t xml:space="preserve">: </w:t>
      </w:r>
      <w:r w:rsidRPr="006463C1">
        <w:t>Emerging</w:t>
      </w:r>
      <w:r w:rsidRPr="006463C1">
        <w:t xml:space="preserve"> </w:t>
      </w:r>
      <w:r w:rsidRPr="006463C1">
        <w:t>trends</w:t>
      </w:r>
      <w:r w:rsidRPr="006463C1">
        <w:t xml:space="preserve"> </w:t>
      </w:r>
      <w:r w:rsidRPr="006463C1">
        <w:t>and</w:t>
      </w:r>
      <w:r w:rsidRPr="006463C1">
        <w:t xml:space="preserve"> </w:t>
      </w:r>
      <w:r w:rsidRPr="006463C1">
        <w:t>knowledge</w:t>
      </w:r>
      <w:r w:rsidRPr="006463C1">
        <w:t xml:space="preserve"> </w:t>
      </w:r>
      <w:r w:rsidRPr="006463C1">
        <w:t>gaps</w:t>
      </w:r>
      <w:r w:rsidRPr="006463C1">
        <w:t>“ (Участие на децата в организираното насилие: нововъзникващи тенденции и пропуски в знанията),</w:t>
      </w:r>
    </w:p>
    <w:bookmarkEnd w:id="7"/>
    <w:p w:rsidR="00F35C0B" w:rsidRPr="006463C1" w:rsidP="00F35C0B" w14:paraId="59053E81" w14:textId="77777777">
      <w:pPr>
        <w:pStyle w:val="NormalHanging12a"/>
        <w:rPr>
          <w:bCs/>
          <w:spacing w:val="-2"/>
        </w:rPr>
      </w:pPr>
      <w:r w:rsidRPr="006463C1">
        <w:t>–</w:t>
      </w:r>
      <w:r w:rsidRPr="006463C1">
        <w:tab/>
        <w:t>като взе предвид Стратегията на ЕС за правата на детето и гаранцията на ЕС за борба с наркотиците,</w:t>
      </w:r>
    </w:p>
    <w:p w:rsidR="00F35C0B" w:rsidRPr="006463C1" w:rsidP="00F35C0B" w14:paraId="393BBBD2" w14:textId="77777777">
      <w:pPr>
        <w:pStyle w:val="NormalHanging12a"/>
        <w:rPr>
          <w:bCs/>
          <w:spacing w:val="-2"/>
        </w:rPr>
      </w:pPr>
      <w:r w:rsidRPr="006463C1">
        <w:t>–</w:t>
      </w:r>
      <w:r w:rsidRPr="006463C1">
        <w:tab/>
        <w:t>като взе предвид изслушването на своята комисия по граждански свободи, правосъдие и вътрешни работи от 4 юни 2025 г., озаглавено „</w:t>
      </w:r>
      <w:r w:rsidRPr="006463C1">
        <w:t>Radicalisation</w:t>
      </w:r>
      <w:r w:rsidRPr="006463C1">
        <w:t xml:space="preserve"> </w:t>
      </w:r>
      <w:r w:rsidRPr="006463C1">
        <w:t>online</w:t>
      </w:r>
      <w:r w:rsidRPr="006463C1">
        <w:t xml:space="preserve">, </w:t>
      </w:r>
      <w:r w:rsidRPr="006463C1">
        <w:t>with</w:t>
      </w:r>
      <w:r w:rsidRPr="006463C1">
        <w:t xml:space="preserve"> a </w:t>
      </w:r>
      <w:r w:rsidRPr="006463C1">
        <w:t>focus</w:t>
      </w:r>
      <w:r w:rsidRPr="006463C1">
        <w:t xml:space="preserve"> </w:t>
      </w:r>
      <w:r w:rsidRPr="006463C1">
        <w:t>on</w:t>
      </w:r>
      <w:r w:rsidRPr="006463C1">
        <w:t xml:space="preserve"> </w:t>
      </w:r>
      <w:r w:rsidRPr="006463C1">
        <w:t>the</w:t>
      </w:r>
      <w:r w:rsidRPr="006463C1">
        <w:t xml:space="preserve"> </w:t>
      </w:r>
      <w:r w:rsidRPr="006463C1">
        <w:t>recruitment</w:t>
      </w:r>
      <w:r w:rsidRPr="006463C1">
        <w:t xml:space="preserve"> </w:t>
      </w:r>
      <w:r w:rsidRPr="006463C1">
        <w:t>of</w:t>
      </w:r>
      <w:r w:rsidRPr="006463C1">
        <w:t xml:space="preserve"> </w:t>
      </w:r>
      <w:r w:rsidRPr="006463C1">
        <w:t>children</w:t>
      </w:r>
      <w:r w:rsidRPr="006463C1">
        <w:t xml:space="preserve"> </w:t>
      </w:r>
      <w:r w:rsidRPr="006463C1">
        <w:t>for</w:t>
      </w:r>
      <w:r w:rsidRPr="006463C1">
        <w:t xml:space="preserve"> </w:t>
      </w:r>
      <w:r w:rsidRPr="006463C1">
        <w:t>organised</w:t>
      </w:r>
      <w:r w:rsidRPr="006463C1">
        <w:t xml:space="preserve"> </w:t>
      </w:r>
      <w:r w:rsidRPr="006463C1">
        <w:t>crime</w:t>
      </w:r>
      <w:r w:rsidRPr="006463C1">
        <w:t xml:space="preserve"> </w:t>
      </w:r>
      <w:r w:rsidRPr="006463C1">
        <w:t>and</w:t>
      </w:r>
      <w:r w:rsidRPr="006463C1">
        <w:t xml:space="preserve"> </w:t>
      </w:r>
      <w:r w:rsidRPr="006463C1">
        <w:t>terrorism</w:t>
      </w:r>
      <w:r w:rsidRPr="006463C1">
        <w:t>“ (Радикализиране онлайн с акцент върху вербуването на деца за организираната престъпност и тероризма),</w:t>
      </w:r>
    </w:p>
    <w:p w:rsidR="00F35C0B" w:rsidRPr="006463C1" w:rsidP="00F35C0B" w14:paraId="43A142C7" w14:textId="77777777">
      <w:pPr>
        <w:pStyle w:val="NormalHanging12a"/>
        <w:rPr>
          <w:bCs/>
          <w:spacing w:val="-2"/>
        </w:rPr>
      </w:pPr>
      <w:r w:rsidRPr="006463C1">
        <w:t>–</w:t>
      </w:r>
      <w:r w:rsidRPr="006463C1">
        <w:tab/>
        <w:t xml:space="preserve">като взе предвид своята резолюция от 20 януари 2026 г. относно убийството на Мехди </w:t>
      </w:r>
      <w:r w:rsidRPr="006463C1">
        <w:t>Кесаси</w:t>
      </w:r>
      <w:r w:rsidRPr="006463C1">
        <w:t xml:space="preserve"> – спешна необходимост от амбициозни действия на европейско равнище срещу трафика на наркотици</w:t>
      </w:r>
      <w:r>
        <w:rPr>
          <w:rStyle w:val="FootnoteReference"/>
        </w:rPr>
        <w:footnoteReference w:id="4"/>
      </w:r>
      <w:r w:rsidRPr="006463C1">
        <w:t>,</w:t>
      </w:r>
    </w:p>
    <w:p w:rsidR="00F35C0B" w:rsidRPr="006463C1" w:rsidP="00F35C0B" w14:paraId="1C8B9DD1" w14:textId="77777777">
      <w:pPr>
        <w:pStyle w:val="NormalHanging12a"/>
        <w:rPr>
          <w:spacing w:val="-2"/>
        </w:rPr>
      </w:pPr>
      <w:r w:rsidRPr="006463C1">
        <w:t>–</w:t>
      </w:r>
      <w:r w:rsidRPr="006463C1">
        <w:tab/>
        <w:t xml:space="preserve">като взе предвид Директива (ЕС) 2016/800 на Европейския парламент и на Съвета от 11 май 2016 г. относно процесуалните гаранции за децата, които са заподозрени или обвиняеми в рамките на </w:t>
      </w:r>
      <w:r w:rsidRPr="006463C1">
        <w:t>наказателнoто</w:t>
      </w:r>
      <w:r w:rsidRPr="006463C1">
        <w:t xml:space="preserve"> </w:t>
      </w:r>
      <w:r w:rsidRPr="006463C1">
        <w:t>производствo</w:t>
      </w:r>
      <w:r>
        <w:rPr>
          <w:rStyle w:val="FootnoteReference"/>
        </w:rPr>
        <w:footnoteReference w:id="5"/>
      </w:r>
      <w:r w:rsidRPr="006463C1">
        <w:t>,</w:t>
      </w:r>
    </w:p>
    <w:p w:rsidR="00F35C0B" w:rsidRPr="006463C1" w:rsidP="00F35C0B" w14:paraId="33322661" w14:textId="77777777">
      <w:pPr>
        <w:pStyle w:val="NormalHanging12a"/>
      </w:pPr>
      <w:r w:rsidRPr="006463C1">
        <w:t>–</w:t>
      </w:r>
      <w:r w:rsidRPr="006463C1">
        <w:tab/>
        <w:t>като взе предвид член 136, параграф 2 от своя Правилник за дейността,</w:t>
      </w:r>
    </w:p>
    <w:p w:rsidR="00F35C0B" w:rsidRPr="006463C1" w:rsidP="00F35C0B" w14:paraId="25F72DB5" w14:textId="77777777">
      <w:pPr>
        <w:pStyle w:val="NormalHanging12a"/>
      </w:pPr>
      <w:r w:rsidRPr="006463C1">
        <w:t>А.</w:t>
      </w:r>
      <w:r w:rsidRPr="006463C1">
        <w:rPr>
          <w:snapToGrid w:val="0"/>
        </w:rPr>
        <w:tab/>
      </w:r>
      <w:r w:rsidRPr="006463C1">
        <w:t>като има предвид, че организираните престъпни и терористични групи все по-често вербуват и експлоатират деца като част от оперативните си стратегии, включително за предпазване на възрастните извършители от разкриване и наказателно преследване и за разширяване на незаконните дейности;</w:t>
      </w:r>
    </w:p>
    <w:p w:rsidR="00F35C0B" w:rsidRPr="006463C1" w:rsidP="00F35C0B" w14:paraId="16A143C3" w14:textId="77777777">
      <w:pPr>
        <w:pStyle w:val="NormalHanging12a"/>
      </w:pPr>
      <w:r w:rsidRPr="006463C1">
        <w:rPr>
          <w:snapToGrid w:val="0"/>
        </w:rPr>
        <w:t>Б.</w:t>
      </w:r>
      <w:r w:rsidRPr="006463C1">
        <w:rPr>
          <w:snapToGrid w:val="0"/>
        </w:rPr>
        <w:tab/>
      </w:r>
      <w:r w:rsidRPr="006463C1">
        <w:t>като има предвид, че според разузнавателното уведомление на Европол от ноември 2024 г. малолетните и непълнолетните лица, вербувани от престъпни мрежи, обикновено нямат пряк контакт с висшите ешелони на организациите и са мобилизирани чрез доставчици на престъпни услуги; като има предвид, че ограничените познания на тези малолетни и непълнолетни лица за структурата на мрежите и честата липса на предишни досиета за съдимост ги правят нискорискови оперативни служители, които е по-малко вероятно да предоставят полезна информация на правоприлагащите органи, ако бъдат арестувани;</w:t>
      </w:r>
    </w:p>
    <w:p w:rsidR="00F35C0B" w:rsidRPr="006463C1" w:rsidP="00F35C0B" w14:paraId="43B13C7F" w14:textId="77777777">
      <w:pPr>
        <w:pStyle w:val="NormalHanging12a"/>
      </w:pPr>
      <w:r w:rsidRPr="006463C1">
        <w:rPr>
          <w:snapToGrid w:val="0"/>
        </w:rPr>
        <w:t>В.</w:t>
      </w:r>
      <w:r w:rsidRPr="006463C1">
        <w:rPr>
          <w:snapToGrid w:val="0"/>
        </w:rPr>
        <w:tab/>
      </w:r>
      <w:r w:rsidRPr="006463C1">
        <w:t>като има предвид, че вербуването и експлоатацията на деца от организирани престъпни и терористични групи нарушава основните права на децата, включително достойнството им, с тежки последици за тяхната безопасност и бъдеще; като има предвид, че уязвимостта на децата към вербуване от организирани престъпни мрежи произтича от кумулативни и пресичащи се рискови фактори, включително липса на чувство за принадлежност, неблагоприятни преживявания в детска възраст и предизвикателства, свързани с психичното здраве, които се експлоатират умишлено; като има предвид, че ефективната превенция изисква интегрирани отговори, насочени към тези фактори;</w:t>
      </w:r>
    </w:p>
    <w:p w:rsidR="00F35C0B" w:rsidRPr="006463C1" w:rsidP="00F35C0B" w14:paraId="016AB7DF" w14:textId="77777777">
      <w:pPr>
        <w:pStyle w:val="NormalHanging12a"/>
      </w:pPr>
      <w:r w:rsidRPr="006463C1">
        <w:rPr>
          <w:snapToGrid w:val="0"/>
        </w:rPr>
        <w:t>Г.</w:t>
      </w:r>
      <w:r w:rsidRPr="006463C1">
        <w:rPr>
          <w:snapToGrid w:val="0"/>
        </w:rPr>
        <w:tab/>
      </w:r>
      <w:r w:rsidRPr="006463C1">
        <w:t>като има предвид, че вербуването на деца се превърна от предимно хуманитарен проблем в системен фактор за организираната престъпност, стана част от оперативните модели на престъпните мрежи и е пречка за мира, сигурността и развитието; като има предвид, че престъпните групи, които вербуват деца, подкопават сигурността на ЕС, подхранват престъпността и продължават циклите на насилие и несигурност от поколение на поколение;</w:t>
      </w:r>
    </w:p>
    <w:p w:rsidR="00F35C0B" w:rsidRPr="006463C1" w:rsidP="00F35C0B" w14:paraId="761C906B" w14:textId="77777777">
      <w:pPr>
        <w:pStyle w:val="NormalHanging12a"/>
      </w:pPr>
      <w:r w:rsidRPr="006463C1">
        <w:rPr>
          <w:snapToGrid w:val="0"/>
        </w:rPr>
        <w:t>Д.</w:t>
      </w:r>
      <w:r w:rsidRPr="006463C1">
        <w:rPr>
          <w:snapToGrid w:val="0"/>
        </w:rPr>
        <w:tab/>
      </w:r>
      <w:r w:rsidRPr="006463C1">
        <w:t>като има предвид, че тези практики се улесняват от някои технологични разработки, които могат да нормализират и стимулират престъпното поведение сред децата;</w:t>
      </w:r>
    </w:p>
    <w:p w:rsidR="00F35C0B" w:rsidRPr="006463C1" w:rsidP="00F35C0B" w14:paraId="40DD51BB" w14:textId="77777777">
      <w:pPr>
        <w:pStyle w:val="NormalHanging12a"/>
      </w:pPr>
      <w:r w:rsidRPr="006463C1">
        <w:rPr>
          <w:snapToGrid w:val="0"/>
        </w:rPr>
        <w:t>Е.</w:t>
      </w:r>
      <w:r w:rsidRPr="006463C1">
        <w:rPr>
          <w:snapToGrid w:val="0"/>
        </w:rPr>
        <w:tab/>
      </w:r>
      <w:r w:rsidRPr="006463C1">
        <w:t>като има предвид, че при картографирането на Европол за 2024 г. бяха установени 821 високорискови престъпни мрежи, действащи в ЕС, които генерират годишни приходи в размер на около 92 – 188 милиарда евро, което представлява приблизително 0,7 – 1,4% от БВП на ЕС</w:t>
      </w:r>
      <w:r>
        <w:rPr>
          <w:rStyle w:val="FootnoteReference"/>
          <w:color w:val="000000"/>
        </w:rPr>
        <w:footnoteReference w:id="6"/>
      </w:r>
      <w:r w:rsidRPr="006463C1">
        <w:t>; като има предвид, че малолетните и непълнолетните лица участват в над 70% от незаконните пазарни дейности, включително трафик на наркотици, изнудване, онлайн измами, изпиране на пари, незаконен трафик на огнестрелни оръжия и схеми за използване на насилие като услуга, а престъпните мрежи експлоатират деца още от 12-годишна възраст за задачи като улична търговия, пренасяне на пари в брой по куриер и извличане на наркотици от контейнери за превоз;</w:t>
      </w:r>
    </w:p>
    <w:p w:rsidR="00F35C0B" w:rsidRPr="006463C1" w:rsidP="00F35C0B" w14:paraId="059557DE" w14:textId="77777777">
      <w:pPr>
        <w:pStyle w:val="NormalHanging12a"/>
        <w:rPr>
          <w:bCs/>
        </w:rPr>
      </w:pPr>
      <w:r w:rsidRPr="006463C1">
        <w:rPr>
          <w:snapToGrid w:val="0"/>
        </w:rPr>
        <w:t>Ж.</w:t>
      </w:r>
      <w:r w:rsidRPr="006463C1">
        <w:rPr>
          <w:snapToGrid w:val="0"/>
        </w:rPr>
        <w:tab/>
      </w:r>
      <w:r w:rsidRPr="006463C1">
        <w:t>като има предвид, че престъпните организации систематично се насочват към деца в силно уязвимо положение, особено към застрашените от социално-икономическо изключване, отпадане от училище и разпадане на семейството, или към деца мигранти, като се възползват от тяхната икономическа несигурност, социална маргинализация и липса на осведоменост за рисковете;</w:t>
      </w:r>
    </w:p>
    <w:p w:rsidR="00F35C0B" w:rsidRPr="006463C1" w:rsidP="00F35C0B" w14:paraId="4D588676" w14:textId="77777777">
      <w:pPr>
        <w:pStyle w:val="NormalHanging12a"/>
        <w:rPr>
          <w:bCs/>
        </w:rPr>
      </w:pPr>
      <w:r w:rsidRPr="006463C1">
        <w:rPr>
          <w:snapToGrid w:val="0"/>
        </w:rPr>
        <w:t>З.</w:t>
      </w:r>
      <w:r w:rsidRPr="006463C1">
        <w:rPr>
          <w:snapToGrid w:val="0"/>
        </w:rPr>
        <w:tab/>
      </w:r>
      <w:r w:rsidRPr="006463C1">
        <w:t>като има предвид, че момичетата и младите жени все по-често участват в организираната престъпност, макар често да са пренебрегвани от системите за наказателно правосъдие, като 22% от установените жертви на трафик в Западна и Южна Европа са принудени да участват в престъпни дейности, предимно трафик на наркотици;</w:t>
      </w:r>
    </w:p>
    <w:p w:rsidR="00F35C0B" w:rsidRPr="006463C1" w:rsidP="00F35C0B" w14:paraId="582B3A27" w14:textId="77777777">
      <w:pPr>
        <w:pStyle w:val="NormalHanging12a"/>
      </w:pPr>
      <w:r w:rsidRPr="006463C1">
        <w:rPr>
          <w:snapToGrid w:val="0"/>
        </w:rPr>
        <w:t>И.</w:t>
      </w:r>
      <w:r w:rsidRPr="006463C1">
        <w:rPr>
          <w:snapToGrid w:val="0"/>
        </w:rPr>
        <w:tab/>
      </w:r>
      <w:r w:rsidRPr="006463C1">
        <w:t xml:space="preserve">като има предвид, че незаконната търговия с огнестрелни оръжия и незаконната употреба на пиротехнически средства допринесоха за преминаването от престъпления на ниско равнище към по-тежки престъпления и актове на насилие, </w:t>
      </w:r>
      <w:r w:rsidRPr="006463C1">
        <w:t xml:space="preserve">включващи малолетни и непълнолетни лица, в това число изнудване и убийства; като има предвид, че </w:t>
      </w:r>
      <w:r w:rsidRPr="006463C1">
        <w:t>вербовчиците</w:t>
      </w:r>
      <w:r w:rsidRPr="006463C1">
        <w:t xml:space="preserve"> от престъпния свят може да предлагат на малолетните и непълнолетните лица значителни финансови стимули, вариращи от няколко хиляди до двадесет хиляди евро за убийства;</w:t>
      </w:r>
    </w:p>
    <w:p w:rsidR="00F35C0B" w:rsidRPr="006463C1" w:rsidP="00F35C0B" w14:paraId="0D62C97B" w14:textId="77777777">
      <w:pPr>
        <w:pStyle w:val="NormalHanging12a"/>
      </w:pPr>
      <w:r w:rsidRPr="006463C1">
        <w:rPr>
          <w:snapToGrid w:val="0"/>
        </w:rPr>
        <w:t>Й.</w:t>
      </w:r>
      <w:r w:rsidRPr="006463C1">
        <w:rPr>
          <w:snapToGrid w:val="0"/>
        </w:rPr>
        <w:tab/>
      </w:r>
      <w:r w:rsidRPr="006463C1">
        <w:t>като има предвид, че сплашването и принудата, свързани с наркотиците, представляват основен път, по който организираните престъпни мрежи вербуват и експлоатират деца, като използват дългове, сприятеляване с цел сексуална злоупотреба и насилие; като има предвид, че трансграничният обхват на тези мрежи означава, че тези явления не могат да бъдат преодолени по подходящ начин само чрез действия на национално равнище;</w:t>
      </w:r>
    </w:p>
    <w:p w:rsidR="00F35C0B" w:rsidRPr="006463C1" w:rsidP="00F35C0B" w14:paraId="21D828F6" w14:textId="77777777">
      <w:pPr>
        <w:pStyle w:val="NormalHanging12a"/>
      </w:pPr>
      <w:r w:rsidRPr="006463C1">
        <w:rPr>
          <w:snapToGrid w:val="0"/>
        </w:rPr>
        <w:t>К.</w:t>
      </w:r>
      <w:r w:rsidRPr="006463C1">
        <w:rPr>
          <w:snapToGrid w:val="0"/>
        </w:rPr>
        <w:tab/>
      </w:r>
      <w:r w:rsidRPr="006463C1">
        <w:t>като има предвид, че разширяването на пазарите на наркотици доведе до тревожни равнища на участие на малолетните и непълнолетните лица, както е видно от рязкото увеличаване на използването на важни логистични центрове, включително пристанища; като има предвид, че липсата на хармонизирани последици от настоящото определение за организирана престъпност в държавите – членки на ЕС, усложнява събирането и съпоставянето на данни, и като има предвид, че данните за малолетните и непълнолетните лица в организираната престъпност са оскъдни, често ненадеждни и едва съпоставими поради различната възраст за носене на наказателна отговорност и недостатъчното докладване;</w:t>
      </w:r>
    </w:p>
    <w:p w:rsidR="00F35C0B" w:rsidRPr="006463C1" w:rsidP="00F35C0B" w14:paraId="7CA81E76" w14:textId="77777777">
      <w:pPr>
        <w:pStyle w:val="NormalHanging12a"/>
      </w:pPr>
      <w:r w:rsidRPr="006463C1">
        <w:rPr>
          <w:snapToGrid w:val="0"/>
        </w:rPr>
        <w:t>Л.</w:t>
      </w:r>
      <w:r w:rsidRPr="006463C1">
        <w:rPr>
          <w:snapToGrid w:val="0"/>
        </w:rPr>
        <w:tab/>
      </w:r>
      <w:r w:rsidRPr="006463C1">
        <w:t>като има предвид, че недостатъчните инвестиции в обществените услуги, включително превенцията, образованието и здравните услуги, са първопричината за вербуването на деца от организирани престъпни групи;</w:t>
      </w:r>
    </w:p>
    <w:p w:rsidR="00F35C0B" w:rsidRPr="006463C1" w:rsidP="00F35C0B" w14:paraId="58A57E71" w14:textId="77777777">
      <w:pPr>
        <w:pStyle w:val="NormalHanging12a"/>
      </w:pPr>
      <w:r w:rsidRPr="006463C1">
        <w:rPr>
          <w:snapToGrid w:val="0"/>
        </w:rPr>
        <w:t>М.</w:t>
      </w:r>
      <w:r w:rsidRPr="006463C1">
        <w:rPr>
          <w:snapToGrid w:val="0"/>
        </w:rPr>
        <w:tab/>
      </w:r>
      <w:r w:rsidRPr="006463C1">
        <w:t xml:space="preserve">като има предвид, че разпокъсаните институционални реакции и недостатъчната координация между системите за закрила на детето, съдебните органи, агенциите за сигурност и цифровите регулатори създават пропуски, от които се възползват престъпните групи; като има предвид, че в резолюцията на Парламента относно убийството на Мехди </w:t>
      </w:r>
      <w:r w:rsidRPr="006463C1">
        <w:t>Кесаки</w:t>
      </w:r>
      <w:r w:rsidRPr="006463C1">
        <w:t xml:space="preserve"> в Марсилия се осъжда системното вербуване на млади хора от престъпни групи и се призовава за засилена превенция, защита и наказателно преследване, включително специализирана подкрепа за малолетните и непълнолетните лица, за да не бъдат експлоатирани и да се реинтегрират в обществото;</w:t>
      </w:r>
    </w:p>
    <w:p w:rsidR="00F35C0B" w:rsidRPr="006463C1" w:rsidP="00F35C0B" w14:paraId="5FF08C57" w14:textId="77777777">
      <w:pPr>
        <w:pStyle w:val="NormalHanging12a"/>
      </w:pPr>
      <w:r w:rsidRPr="006463C1">
        <w:rPr>
          <w:snapToGrid w:val="0"/>
        </w:rPr>
        <w:t>Н.</w:t>
      </w:r>
      <w:r w:rsidRPr="006463C1">
        <w:rPr>
          <w:snapToGrid w:val="0"/>
        </w:rPr>
        <w:tab/>
      </w:r>
      <w:r w:rsidRPr="006463C1">
        <w:t>като има предвид, че през април 2025 г. Европол създаде оперативна работна група, наречена „GRIMM“, ръководена от Швеция и обединяваща полицейски служители от Белгия, Дания, Финландия, Франция, Германия, Нидерландия и Норвегия, която да се координира с технологичните дружества с цел разкриване на усилията за вербуване на деца чрез социалните медии и платформите за съобщения;</w:t>
      </w:r>
    </w:p>
    <w:p w:rsidR="00F35C0B" w:rsidRPr="006463C1" w:rsidP="00F35C0B" w14:paraId="2A44D6E6" w14:textId="77777777">
      <w:pPr>
        <w:pStyle w:val="NormalHanging12a"/>
      </w:pPr>
      <w:r w:rsidRPr="006463C1">
        <w:rPr>
          <w:snapToGrid w:val="0"/>
        </w:rPr>
        <w:t>О.</w:t>
      </w:r>
      <w:r w:rsidRPr="006463C1">
        <w:rPr>
          <w:snapToGrid w:val="0"/>
        </w:rPr>
        <w:tab/>
      </w:r>
      <w:r w:rsidRPr="006463C1">
        <w:t xml:space="preserve">като има предвид, че основаните на доказателства подходи, например разработените в рамките на проекта STRIVE </w:t>
      </w:r>
      <w:r w:rsidRPr="006463C1">
        <w:t>Juvenile</w:t>
      </w:r>
      <w:r w:rsidRPr="006463C1">
        <w:t xml:space="preserve"> на ЕС и СНПООН, показват ефективността на превантивните, междусекторни, основани на травми, съобразени с равенството между половете и ориентирани към децата отговори;</w:t>
      </w:r>
    </w:p>
    <w:p w:rsidR="00F35C0B" w:rsidRPr="006463C1" w:rsidP="00F35C0B" w14:paraId="2DF5019C" w14:textId="77777777">
      <w:pPr>
        <w:pStyle w:val="NormalHanging12a"/>
      </w:pPr>
      <w:r w:rsidRPr="006463C1">
        <w:t>1.</w:t>
      </w:r>
      <w:r w:rsidRPr="006463C1">
        <w:tab/>
        <w:t>решително осъжда вербуването и експлоатацията на деца от организирани престъпни и терористични групи във всички форми както онлайн, така и офлайн;</w:t>
      </w:r>
    </w:p>
    <w:p w:rsidR="00F35C0B" w:rsidRPr="006463C1" w:rsidP="00F35C0B" w14:paraId="2B4B7F29" w14:textId="77777777">
      <w:pPr>
        <w:pStyle w:val="NormalHanging12a"/>
        <w:rPr>
          <w:spacing w:val="-2"/>
        </w:rPr>
      </w:pPr>
      <w:r w:rsidRPr="006463C1">
        <w:t>2.</w:t>
      </w:r>
      <w:r w:rsidRPr="006463C1">
        <w:tab/>
        <w:t xml:space="preserve">признава, че вербуването на деца съставлява тежко престъпление срещу тях и </w:t>
      </w:r>
      <w:r w:rsidRPr="006463C1">
        <w:t>сериозно нарушение на правата на човека; подчертава, че това е променяща се заплаха за вътрешната и външната сигурност на Европейския съюз, която изисква всеобхватен отговор, съсредоточен върху защитата, ранната превенция, достъпа до права и непрекъснатостта на образованието, интегрирането на вътрешната сигурност, правосъдието, социалните и образователните системи, както и стратегии и мерки, насочени към укрепване на рамката за защита на децата както офлайн, така и онлайн;</w:t>
      </w:r>
    </w:p>
    <w:p w:rsidR="00F35C0B" w:rsidRPr="006463C1" w:rsidP="00F35C0B" w14:paraId="0A5A184C" w14:textId="77777777">
      <w:pPr>
        <w:pStyle w:val="NormalHanging12a"/>
        <w:rPr>
          <w:spacing w:val="-2"/>
        </w:rPr>
      </w:pPr>
      <w:r w:rsidRPr="006463C1">
        <w:t>3.</w:t>
      </w:r>
      <w:r w:rsidRPr="006463C1">
        <w:tab/>
        <w:t>припомня, че детето е преди всичко дете и че следва да бъде третирано по съответния начин, и призовава държавите членки да гарантират, че висшият интерес на детето винаги е от първостепенно значение;</w:t>
      </w:r>
    </w:p>
    <w:p w:rsidR="00F35C0B" w:rsidRPr="006463C1" w:rsidP="00F35C0B" w14:paraId="3D62CB44" w14:textId="77777777">
      <w:pPr>
        <w:pStyle w:val="NormalHanging12a"/>
      </w:pPr>
      <w:r w:rsidRPr="006463C1">
        <w:t>4.</w:t>
      </w:r>
      <w:r w:rsidRPr="006463C1">
        <w:tab/>
        <w:t>призовава Комисията и държавите членки изрично да признаят предотвратяването и ответните действия срещу вербуването на деца от организирани престъпни и терористични групи като приоритетна област в рамките на предстоящия план за действие на ЕС за защита на децата от престъпления; призовава в този план за действие да бъде включен специален стълб за превенция с механизми за ранно предупреждение с участието на училищата, социалните служби и семействата, както и ориентиран към младите хора подход, съсредоточен върху развитието на житейски умения чрез пряко ангажиране на общността;</w:t>
      </w:r>
    </w:p>
    <w:p w:rsidR="00F35C0B" w:rsidRPr="006463C1" w:rsidP="00F35C0B" w14:paraId="121CB743" w14:textId="77777777">
      <w:pPr>
        <w:pStyle w:val="NormalHanging12a"/>
        <w:rPr>
          <w:spacing w:val="-2"/>
        </w:rPr>
      </w:pPr>
      <w:r w:rsidRPr="006463C1">
        <w:t>5.</w:t>
      </w:r>
      <w:r w:rsidRPr="006463C1">
        <w:tab/>
        <w:t>призовава Комисията да разгледа вербуването на деца от организирани престъпни групи и в предстоящото законодателно предложение за модернизирани правила относно организираната престъпност; приканва Комисията да обмисли включването в това предложение на конкретни разпоредби, например утежняващи обстоятелства за вербуването на деца; във връзка с това отново призовава за установяването на ново общо определение за „престъпна организация“, което да отчита и използването на насилие, корупция или сплашване от страна на престъпни групи;</w:t>
      </w:r>
    </w:p>
    <w:p w:rsidR="00F35C0B" w:rsidRPr="006463C1" w:rsidP="00F35C0B" w14:paraId="72AF4AB8" w14:textId="77777777">
      <w:pPr>
        <w:pStyle w:val="NormalHanging12a"/>
        <w:rPr>
          <w:spacing w:val="-2"/>
        </w:rPr>
      </w:pPr>
      <w:r w:rsidRPr="006463C1">
        <w:t>6.</w:t>
      </w:r>
      <w:r w:rsidRPr="006463C1">
        <w:tab/>
        <w:t>призовава Комисията да публикува възможно най-скоро законодателно предложение за преразглеждане на Директивата на ЕС за пиротехническите изделия</w:t>
      </w:r>
      <w:r>
        <w:rPr>
          <w:rStyle w:val="FootnoteReference"/>
        </w:rPr>
        <w:footnoteReference w:id="7"/>
      </w:r>
      <w:r w:rsidRPr="006463C1">
        <w:t>, за да се разгледа използването на пиротехнически изделия като оръжие, включително експлоатацията на уязвими млади хора; насърчава държавите членки да засилят сътрудничеството с Европол и Евроюст, особено в пристанищата, логистичните центрове и градските райони с уязвими общности, чрез обмен на най-добри практики и предоставяне на обучение за установяване и докладване на подозрителни дейности, включващи деца;</w:t>
      </w:r>
    </w:p>
    <w:p w:rsidR="00F35C0B" w:rsidRPr="006463C1" w:rsidP="00F35C0B" w14:paraId="49D27CB0" w14:textId="77777777">
      <w:pPr>
        <w:pStyle w:val="NormalHanging12a"/>
        <w:rPr>
          <w:spacing w:val="-2"/>
        </w:rPr>
      </w:pPr>
      <w:r w:rsidRPr="006463C1">
        <w:t>7.</w:t>
      </w:r>
      <w:r w:rsidRPr="006463C1">
        <w:tab/>
        <w:t>призовава Комисията и държавите членки да признаят сплашването, свързано с наркотици, като установен път за вербуване в организираната престъпност; призовава държавите членки да гарантират, че националните стратегии, насочени към вербуването на деца, изрично включват междуведомствени отговори на заплахите, свързани с наркотиците, като се основават на нововъзникващи модели на най-добри практики;</w:t>
      </w:r>
    </w:p>
    <w:p w:rsidR="00F35C0B" w:rsidRPr="006463C1" w:rsidP="00F35C0B" w14:paraId="2B0651EB" w14:textId="77777777">
      <w:pPr>
        <w:pStyle w:val="NormalHanging12a"/>
        <w:rPr>
          <w:bCs/>
          <w:spacing w:val="-2"/>
        </w:rPr>
      </w:pPr>
      <w:r w:rsidRPr="006463C1">
        <w:t>8.</w:t>
      </w:r>
      <w:r w:rsidRPr="006463C1">
        <w:tab/>
        <w:t xml:space="preserve">настоятелно призовава за приемането на подход „превенцията на първо място“ и </w:t>
      </w:r>
      <w:r w:rsidRPr="006463C1">
        <w:t>на интегрирани системи за закрила, които да са междусекторни, ориентирани към децата, информирани за травмите и съобразени с равенството между половете, с акцент върху ранното идентифициране на изложените на риск деца, интервенциите на равнището на общностите и укрепването на семействата и на социалните услуги; подчертава положителната роля на спорта, образователните асоциации и общностните организации за предлагането на безопасна, здравословна и приобщаваща среда;</w:t>
      </w:r>
    </w:p>
    <w:p w:rsidR="00F35C0B" w:rsidRPr="006463C1" w:rsidP="00F35C0B" w14:paraId="2C816004" w14:textId="77777777">
      <w:pPr>
        <w:pStyle w:val="NormalHanging12a"/>
      </w:pPr>
      <w:r w:rsidRPr="006463C1">
        <w:t>9.</w:t>
      </w:r>
      <w:r w:rsidRPr="006463C1">
        <w:tab/>
        <w:t>счита, че трансграничният характер на организираната престъпност прави чисто националните ответни действия за защита на жертвите неподходящи за децата и за младите хора; призовава за засилено сътрудничество между секторите на сигурността, правосъдието, закрилата на детето, образованието и здравеопазването, както и публично-частните партньорства, за да се гарантират интегрирани и междусекторни рамки за защита на околната среда за децата както офлайн, така и онлайн;</w:t>
      </w:r>
    </w:p>
    <w:p w:rsidR="00F35C0B" w:rsidRPr="006463C1" w:rsidP="00F35C0B" w14:paraId="7A4D4367" w14:textId="77777777">
      <w:pPr>
        <w:pStyle w:val="NormalHanging12a"/>
        <w:rPr>
          <w:spacing w:val="-2"/>
        </w:rPr>
      </w:pPr>
      <w:r w:rsidRPr="006463C1">
        <w:t>10.</w:t>
      </w:r>
      <w:r w:rsidRPr="006463C1">
        <w:tab/>
        <w:t>подчертава, че онлайн измерението на вербуването на деца вече заема централно място в оперативните модели на организираните престъпни и терористични групи, които систематично използват цифровите услуги за идентифициране, таргетиране, манипулиране и принуждаване на деца и за сприятеляване с тях с цел сексуална злоупотреба; подчертава, че вербуването на деца онлайн от организирани престъпни мрежи създава значителен пропуск в правоприлагането поради ограниченото сътрудничество от страна на платформите; призовава Комисията и държавите членки да гарантират, че настоящите задължения за платформите се прилагат;</w:t>
      </w:r>
    </w:p>
    <w:p w:rsidR="00F35C0B" w:rsidRPr="006463C1" w:rsidP="00F35C0B" w14:paraId="011FD157" w14:textId="77777777">
      <w:pPr>
        <w:pStyle w:val="NormalHanging12a"/>
      </w:pPr>
      <w:r w:rsidRPr="006463C1">
        <w:rPr>
          <w:snapToGrid w:val="0"/>
        </w:rPr>
        <w:t>11.</w:t>
      </w:r>
      <w:r w:rsidRPr="006463C1">
        <w:rPr>
          <w:snapToGrid w:val="0"/>
        </w:rPr>
        <w:tab/>
      </w:r>
      <w:r w:rsidRPr="006463C1">
        <w:t>призовава Комисията и държавите членки да гарантират стабилното, последователно и съобразено с правата на детето прилагане на Законодателния акт за цифровите услуги в съответствие с насоките на Комисията относно защитата на малолетните и непълнолетните лица;</w:t>
      </w:r>
    </w:p>
    <w:p w:rsidR="00F35C0B" w:rsidRPr="006463C1" w:rsidP="00F35C0B" w14:paraId="3CAEA117" w14:textId="77777777">
      <w:pPr>
        <w:pStyle w:val="NormalHanging12a"/>
      </w:pPr>
      <w:bookmarkStart w:id="8" w:name="_Hlk231893097"/>
      <w:r w:rsidRPr="006463C1">
        <w:rPr>
          <w:snapToGrid w:val="0"/>
        </w:rPr>
        <w:t>12.</w:t>
      </w:r>
      <w:r w:rsidRPr="006463C1">
        <w:rPr>
          <w:snapToGrid w:val="0"/>
        </w:rPr>
        <w:tab/>
      </w:r>
      <w:r w:rsidRPr="006463C1">
        <w:t>призовава Комисията да гарантира пълното прилагане на законодателството на ЕС в областта на цифровите технологии и при необходимост да укрепи задълженията на платформите да предприемат действия срещу експлоатацията и вербуването на деца, както и да подсили защитата на малолетните и непълнолетните лица онлайн чрез предстоящия Акт за цифрова справедливост, като се премахнат регулаторните пропуски в области като безопасността още при проектирането, съобразените с възрастта настройки по подразбиране и целенасочените търговски практики по отношение на децата, като същевременно се гарантира, че новите мерки остават пропорционални, основани на доказателства и съгласувани с по-широката цифрова регулаторна рамка;</w:t>
      </w:r>
      <w:bookmarkEnd w:id="8"/>
    </w:p>
    <w:p w:rsidR="00F35C0B" w:rsidRPr="006463C1" w:rsidP="00F35C0B" w14:paraId="1266C8D3" w14:textId="77777777">
      <w:pPr>
        <w:pStyle w:val="NormalHanging12a"/>
      </w:pPr>
      <w:r w:rsidRPr="006463C1">
        <w:rPr>
          <w:snapToGrid w:val="0"/>
        </w:rPr>
        <w:t>13.</w:t>
      </w:r>
      <w:r w:rsidRPr="006463C1">
        <w:rPr>
          <w:snapToGrid w:val="0"/>
        </w:rPr>
        <w:tab/>
      </w:r>
      <w:r w:rsidRPr="006463C1">
        <w:t>подчертава нарастващата заплаха на престъплението като услуга, включително насилието като услуга, чрез която младите хора се вербуват онлайн, за да изпълняват задачи с употреба на насилие; приветства създаването на оперативната работна група GRIMM на Европол и призовава държавите членки, Европол и Евроюст да укрепят съвместните разследвания, насочени към вербуващите, подбудителите и високопоставените участници, вместо да ограничават действията по правоприлагане до малолетните и непълнолетните лица, извършващи престъпленията;</w:t>
      </w:r>
    </w:p>
    <w:p w:rsidR="00F35C0B" w:rsidP="00F35C0B" w14:paraId="0C3300F3" w14:textId="3A15A23D">
      <w:pPr>
        <w:pStyle w:val="NormalHanging12a"/>
      </w:pPr>
      <w:r w:rsidRPr="006463C1">
        <w:rPr>
          <w:snapToGrid w:val="0"/>
        </w:rPr>
        <w:t>14.</w:t>
      </w:r>
      <w:r w:rsidRPr="006463C1">
        <w:rPr>
          <w:snapToGrid w:val="0"/>
        </w:rPr>
        <w:tab/>
      </w:r>
      <w:r w:rsidRPr="006463C1">
        <w:t xml:space="preserve">подчертава, че децата, участващи в престъпни дейности в резултат на вербуване, </w:t>
      </w:r>
      <w:r w:rsidRPr="006463C1">
        <w:t xml:space="preserve">трябва да се </w:t>
      </w:r>
      <w:r w:rsidRPr="00FC64ED">
        <w:t>третират</w:t>
      </w:r>
      <w:r w:rsidRPr="006463C1">
        <w:t xml:space="preserve"> предимно в съответствие с международните стандарти; припомня, че присъединяването към групи, прибягващи до насилие, често е плод на постепенна принуда и на групова динамика, а не на идеологически пристрастия;</w:t>
      </w:r>
    </w:p>
    <w:p w:rsidR="00821110" w:rsidRPr="006463C1" w:rsidP="00F35C0B" w14:paraId="2FD83E2E" w14:textId="0C205020">
      <w:pPr>
        <w:pStyle w:val="NormalHanging12a"/>
      </w:pPr>
      <w:r w:rsidRPr="00821110">
        <w:t>1</w:t>
      </w:r>
      <w:r>
        <w:t>5</w:t>
      </w:r>
      <w:r w:rsidRPr="00821110">
        <w:t>.</w:t>
      </w:r>
      <w:r w:rsidRPr="00821110">
        <w:tab/>
        <w:t>подчертава, че винаги трябва да се вземат надлежно предвид индивидуалните обстоятелства при всеки отделен случай, включително принуда или експлоатация, както и тежестта на извършеното престъпно деяние, равнището на риска за обществената безопасност, свързан с извършителя, и приложимото право на С</w:t>
      </w:r>
      <w:r w:rsidR="00FC64ED">
        <w:t>ъюза</w:t>
      </w:r>
      <w:r w:rsidRPr="00821110">
        <w:t xml:space="preserve"> и национално законодателство;</w:t>
      </w:r>
    </w:p>
    <w:p w:rsidR="00F35C0B" w:rsidRPr="006463C1" w:rsidP="00F35C0B" w14:paraId="1BB829E5" w14:textId="6AFDD23A">
      <w:pPr>
        <w:pStyle w:val="NormalHanging12a"/>
      </w:pPr>
      <w:r>
        <w:rPr>
          <w:snapToGrid w:val="0"/>
        </w:rPr>
        <w:t>16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 xml:space="preserve">призовава за съобразени с интересите на детето, зачитащи равенството между половете и информирани относно травмите правосъдни системи и за адаптирани, междусекторни и информирани относно травмите програми за реинтеграция, включително услуги като достъп до образование, подкрепа за психичното здраве, </w:t>
      </w:r>
      <w:r w:rsidRPr="006463C1">
        <w:t>психосоциална</w:t>
      </w:r>
      <w:r w:rsidRPr="006463C1">
        <w:t xml:space="preserve"> подкрепа, възстановяване и рехабилитация, защита от ответни действия с цел отмъщение, включително за семействата, пътища към достойна заетост и мерки за предотвратяване на </w:t>
      </w:r>
      <w:r w:rsidRPr="006463C1">
        <w:t>стигматизацията</w:t>
      </w:r>
      <w:r w:rsidRPr="006463C1">
        <w:t xml:space="preserve"> и непрекъснатото вербуване; припомня, че съгласно Директива (ЕС) 2016/800 лишаването от свобода на дете, по-специално задържането, следва да се налага само като крайна мярка и когато е възможно, компетентните органи на държавите членки следва да прибягват до алтернативни мерки; отбелязва, че в някои държави членки възстановителното правосъдие се е доказало като ефективно;</w:t>
      </w:r>
    </w:p>
    <w:p w:rsidR="00F35C0B" w:rsidRPr="006463C1" w:rsidP="00F35C0B" w14:paraId="032BF1D7" w14:textId="2676F3A2">
      <w:pPr>
        <w:pStyle w:val="NormalHanging12a"/>
      </w:pPr>
      <w:r>
        <w:rPr>
          <w:snapToGrid w:val="0"/>
        </w:rPr>
        <w:t>17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 xml:space="preserve">настоятелно призовава държавите членки да подобрят оперативно съвместимото междусекторно събиране и споделяне на данни относно вербуването на деца в организирани престъпни и терористични групи, включително </w:t>
      </w:r>
      <w:r w:rsidRPr="006463C1">
        <w:t>дезагрегирани</w:t>
      </w:r>
      <w:r w:rsidRPr="006463C1">
        <w:t xml:space="preserve"> и хармонизирани данни за целия ЕС, с цел по-добро разбиране на тенденциите и рисковите фактори; подчертава, че всяко събиране, обработване или споделяне на данни, отнасящи се до деца, трябва да бъде в пълно съответствие с правилата за защита на данните и с принципа на недискриминация;</w:t>
      </w:r>
    </w:p>
    <w:p w:rsidR="00F35C0B" w:rsidRPr="006463C1" w:rsidP="00F35C0B" w14:paraId="47E968B2" w14:textId="3C6D4B5E">
      <w:pPr>
        <w:pStyle w:val="NormalHanging12a"/>
      </w:pPr>
      <w:r>
        <w:rPr>
          <w:snapToGrid w:val="0"/>
        </w:rPr>
        <w:t>18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 xml:space="preserve">подкрепя разрастването на успешните основани на доказателства инициативи, като проекта STRIVE </w:t>
      </w:r>
      <w:r w:rsidRPr="006463C1">
        <w:t>Juvenile</w:t>
      </w:r>
      <w:r w:rsidRPr="006463C1">
        <w:t xml:space="preserve"> на ЕС и СНПООН и неговия стратегически приемник – инициативата на ЕС и СНПООН </w:t>
      </w:r>
      <w:r w:rsidRPr="006463C1">
        <w:t>Protecting</w:t>
      </w:r>
      <w:r w:rsidRPr="006463C1">
        <w:t xml:space="preserve"> </w:t>
      </w:r>
      <w:r w:rsidRPr="006463C1">
        <w:t>Futures</w:t>
      </w:r>
      <w:r w:rsidRPr="006463C1">
        <w:t>, включително в нестабилен и засегнат от конфликти контекст;</w:t>
      </w:r>
    </w:p>
    <w:p w:rsidR="00F35C0B" w:rsidRPr="006463C1" w:rsidP="00F35C0B" w14:paraId="60625938" w14:textId="47F133DC">
      <w:pPr>
        <w:pStyle w:val="NormalHanging12a"/>
      </w:pPr>
      <w:r>
        <w:rPr>
          <w:snapToGrid w:val="0"/>
        </w:rPr>
        <w:t>19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 xml:space="preserve">призовава за засилено международно сътрудничество с държавите партньори с цел справяне с трансграничните мрежи за вербуване на лица и предотвратяване на </w:t>
      </w:r>
      <w:r w:rsidRPr="006463C1">
        <w:t>екстернализацията</w:t>
      </w:r>
      <w:r w:rsidRPr="006463C1">
        <w:t xml:space="preserve"> на престъпната експлоатация;</w:t>
      </w:r>
    </w:p>
    <w:p w:rsidR="00F35C0B" w:rsidRPr="006463C1" w:rsidP="00F35C0B" w14:paraId="3805A10C" w14:textId="0B5F492E">
      <w:pPr>
        <w:pStyle w:val="NormalHanging12a"/>
      </w:pPr>
      <w:r>
        <w:rPr>
          <w:snapToGrid w:val="0"/>
        </w:rPr>
        <w:t>20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>подчертава, че като част от това сътрудничество трябва да се обърне специално внимание на децата в положение на повишена уязвимост, включително непридружените деца и децата мигранти, и трябва да се гарантира достъп до безопасни канали за подаване на сигнали, настойничество, правна помощ и основани на права трансгранични механизми за закрила на детето;</w:t>
      </w:r>
    </w:p>
    <w:p w:rsidR="00F35C0B" w:rsidRPr="006463C1" w:rsidP="00F35C0B" w14:paraId="4B000BD2" w14:textId="61871D69">
      <w:pPr>
        <w:pStyle w:val="NormalHanging12a"/>
      </w:pPr>
      <w:r>
        <w:rPr>
          <w:snapToGrid w:val="0"/>
        </w:rPr>
        <w:t>21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 xml:space="preserve">подчертава значението на справянето с първопричините, включително бедността, неравенството, изключването, липсата на образование и излагането на насилие, както и недостатъчните инвестиции в обществените услуги; призовава Комисията и държавите членки да увеличат финансовата подкрепа за организациите на гражданското общество, общностните инициативи, спортните асоциации и </w:t>
      </w:r>
      <w:r w:rsidRPr="006463C1">
        <w:t>образователните програми в областите, които в най-голяма степен са изложени на вербуване от организираната престъпност, като се предлагат надеждни алтернативи на престъпността;</w:t>
      </w:r>
    </w:p>
    <w:p w:rsidR="00F35C0B" w:rsidRPr="006463C1" w:rsidP="00F35C0B" w14:paraId="5BD2558C" w14:textId="17802BB9">
      <w:pPr>
        <w:pStyle w:val="NormalHanging12a"/>
      </w:pPr>
      <w:r>
        <w:rPr>
          <w:snapToGrid w:val="0"/>
        </w:rPr>
        <w:t>22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>изразява особена загриженост относно непропорционалното таргетиране и експлоатация на момичета и млади жени от страна на организираните престъпни мрежи, включително чрез сприятеляване с цел сексуална злоупотреба, трафик и сексуална експлоатация; подчертава, че момичетата се сблъскват със специфични пречки при опитите си да избягат от престъпна принуда и да получат достъп до правосъдие, възстановяване и реинтеграция, и призовава държавите членки да гарантират, че всички мерки за превенция, защита и подкрепа са съобразени с равенството между половете и са насочени конкретно към уязвимостите и потребностите на момичетата; във връзка с това припомня задълженията, определени в Директивата за борба с трафика на хора</w:t>
      </w:r>
      <w:r>
        <w:rPr>
          <w:rStyle w:val="FootnoteReference"/>
        </w:rPr>
        <w:footnoteReference w:id="8"/>
      </w:r>
      <w:r w:rsidRPr="006463C1">
        <w:t>;</w:t>
      </w:r>
    </w:p>
    <w:p w:rsidR="00F35C0B" w:rsidRPr="006463C1" w:rsidP="00F35C0B" w14:paraId="2F28C908" w14:textId="2B1A253C">
      <w:pPr>
        <w:pStyle w:val="NormalHanging12a"/>
      </w:pPr>
      <w:r>
        <w:rPr>
          <w:snapToGrid w:val="0"/>
        </w:rPr>
        <w:t>23</w:t>
      </w:r>
      <w:r w:rsidRPr="006463C1">
        <w:rPr>
          <w:snapToGrid w:val="0"/>
        </w:rPr>
        <w:t>.</w:t>
      </w:r>
      <w:r w:rsidRPr="006463C1">
        <w:rPr>
          <w:snapToGrid w:val="0"/>
        </w:rPr>
        <w:tab/>
      </w:r>
      <w:r w:rsidRPr="006463C1">
        <w:t>призовава Комисията и държавите членки да отпуснат подходящо финансиране по линия на съответните програми на ЕС за предотвратяване и ефективна реакция срещу вербуването на деца от организирани престъпни и терористични групи, и по-специално да подкрепят мрежата от горещи линии 116 000 за изчезнали деца като ключови междуведомствени партньори при идентифицирането на деца, изложени на риск;</w:t>
      </w:r>
    </w:p>
    <w:p w:rsidR="00E365E1" w:rsidRPr="006463C1" w:rsidP="008B55F3" w14:paraId="37CDC731" w14:textId="25133E26">
      <w:pPr>
        <w:ind w:left="567" w:hanging="567"/>
      </w:pPr>
      <w:r>
        <w:rPr>
          <w:snapToGrid w:val="0"/>
        </w:rPr>
        <w:t>24</w:t>
      </w:r>
      <w:r w:rsidRPr="006463C1" w:rsidR="00F35C0B">
        <w:rPr>
          <w:snapToGrid w:val="0"/>
        </w:rPr>
        <w:t>.</w:t>
      </w:r>
      <w:r w:rsidRPr="006463C1" w:rsidR="00F35C0B">
        <w:rPr>
          <w:snapToGrid w:val="0"/>
        </w:rPr>
        <w:tab/>
      </w:r>
      <w:r w:rsidRPr="006463C1" w:rsidR="00F35C0B">
        <w:t>възлага на своя председател да предаде настоящата резолюция на Съвета, Комисията, правителствата и парламентите на държавите членки, Европол и Службата на ООН по наркотиците и престъпността.</w:t>
      </w:r>
    </w:p>
    <w:sectPr w:rsidSect="006463C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27808" w:rsidRPr="006463C1" w14:paraId="1DE2A5B8" w14:textId="77777777">
      <w:r w:rsidRPr="006463C1">
        <w:separator/>
      </w:r>
    </w:p>
  </w:footnote>
  <w:footnote w:type="continuationSeparator" w:id="1">
    <w:p w:rsidR="00B27808" w:rsidRPr="006463C1" w14:paraId="5C752D55" w14:textId="77777777">
      <w:r w:rsidRPr="006463C1">
        <w:continuationSeparator/>
      </w:r>
    </w:p>
  </w:footnote>
  <w:footnote w:id="2">
    <w:p w:rsidR="00F35C0B" w:rsidRPr="006463C1" w:rsidP="006463C1" w14:paraId="1D741536" w14:textId="73DFE890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 xml:space="preserve">ОВ L 277, 27.10.2022 г., стр. 1, ELI: </w:t>
      </w:r>
      <w:hyperlink r:id="rId1" w:history="1">
        <w:r w:rsidRPr="006463C1">
          <w:rPr>
            <w:rStyle w:val="Hyperlink"/>
            <w:sz w:val="24"/>
            <w:lang w:val="bg-BG"/>
          </w:rPr>
          <w:t>http://data.europa.eu/eli/reg/2022/2065/oj</w:t>
        </w:r>
      </w:hyperlink>
      <w:r w:rsidRPr="006463C1">
        <w:rPr>
          <w:sz w:val="24"/>
          <w:lang w:val="bg-BG"/>
        </w:rPr>
        <w:t>.</w:t>
      </w:r>
    </w:p>
  </w:footnote>
  <w:footnote w:id="3">
    <w:p w:rsidR="00F35C0B" w:rsidRPr="006463C1" w:rsidP="006463C1" w14:paraId="095E746A" w14:textId="7A55DEC4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szCs w:val="16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 xml:space="preserve">OВ C, C/2025/5519, 10.10.2025 г., ELI: </w:t>
      </w:r>
      <w:hyperlink r:id="rId2" w:history="1">
        <w:r w:rsidRPr="006463C1">
          <w:rPr>
            <w:rStyle w:val="Hyperlink"/>
            <w:sz w:val="24"/>
            <w:lang w:val="bg-BG"/>
          </w:rPr>
          <w:t>http://data.europa.eu/eli/C/2025/5519/oj</w:t>
        </w:r>
      </w:hyperlink>
      <w:r w:rsidRPr="006463C1">
        <w:rPr>
          <w:sz w:val="24"/>
          <w:lang w:val="bg-BG"/>
        </w:rPr>
        <w:t xml:space="preserve">. </w:t>
      </w:r>
    </w:p>
  </w:footnote>
  <w:footnote w:id="4">
    <w:p w:rsidR="00F35C0B" w:rsidRPr="006463C1" w:rsidP="006463C1" w14:paraId="07A4B80A" w14:textId="59A124DF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>Приети текстове, P10_TA(2026)0007.</w:t>
      </w:r>
    </w:p>
  </w:footnote>
  <w:footnote w:id="5">
    <w:p w:rsidR="00F35C0B" w:rsidRPr="006463C1" w:rsidP="006463C1" w14:paraId="55350D95" w14:textId="0B449F59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 xml:space="preserve">ОВ L 132, 21.5.2016 г., стр. 1, ELI: </w:t>
      </w:r>
      <w:hyperlink r:id="rId3" w:history="1">
        <w:r w:rsidRPr="006463C1">
          <w:rPr>
            <w:rStyle w:val="Hyperlink"/>
            <w:sz w:val="24"/>
            <w:lang w:val="bg-BG"/>
          </w:rPr>
          <w:t>http://data.europa.eu/eli/dir/2016/800/oj</w:t>
        </w:r>
      </w:hyperlink>
      <w:r w:rsidRPr="006463C1">
        <w:rPr>
          <w:sz w:val="24"/>
          <w:lang w:val="bg-BG"/>
        </w:rPr>
        <w:t>.</w:t>
      </w:r>
    </w:p>
  </w:footnote>
  <w:footnote w:id="6">
    <w:p w:rsidR="00F35C0B" w:rsidRPr="006463C1" w:rsidP="006463C1" w14:paraId="6F56DE93" w14:textId="7271E76E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>Доклад на Европол от 4 април 2024 г., „</w:t>
      </w:r>
      <w:hyperlink r:id="rId4" w:tgtFrame="_blank" w:history="1">
        <w:r w:rsidRPr="006463C1">
          <w:rPr>
            <w:rStyle w:val="Hyperlink"/>
            <w:sz w:val="24"/>
            <w:lang w:val="bg-BG"/>
          </w:rPr>
          <w:t>Decoding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the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EU’s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most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threatening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criminal</w:t>
        </w:r>
        <w:r w:rsidRPr="006463C1">
          <w:rPr>
            <w:rStyle w:val="Hyperlink"/>
            <w:sz w:val="24"/>
            <w:lang w:val="bg-BG"/>
          </w:rPr>
          <w:t xml:space="preserve"> </w:t>
        </w:r>
        <w:r w:rsidRPr="006463C1">
          <w:rPr>
            <w:rStyle w:val="Hyperlink"/>
            <w:sz w:val="24"/>
            <w:lang w:val="bg-BG"/>
          </w:rPr>
          <w:t>networks</w:t>
        </w:r>
        <w:r w:rsidRPr="006463C1">
          <w:rPr>
            <w:rStyle w:val="Hyperlink"/>
            <w:sz w:val="24"/>
            <w:lang w:val="bg-BG"/>
          </w:rPr>
          <w:t>“ (Декодиране на най-опасните престъпни мрежи в ЕС)</w:t>
        </w:r>
      </w:hyperlink>
      <w:r w:rsidRPr="006463C1">
        <w:rPr>
          <w:sz w:val="24"/>
          <w:lang w:val="bg-BG"/>
        </w:rPr>
        <w:t>, актуализиран през май 2026 г.</w:t>
      </w:r>
    </w:p>
  </w:footnote>
  <w:footnote w:id="7">
    <w:p w:rsidR="00F35C0B" w:rsidRPr="006463C1" w:rsidP="006463C1" w14:paraId="72A5983F" w14:textId="218F238E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 xml:space="preserve">Директива 2013/29/ЕС на Европейския парламент и на Съвета от 12 юни 2013 г. за хармонизиране на законодателствата на държавите членки за предоставяне на пазара на пиротехнически изделия (ОВ L 178, 28.6.2013 г., стр. 27, ELI: </w:t>
      </w:r>
      <w:hyperlink r:id="rId5" w:history="1">
        <w:r w:rsidRPr="006463C1">
          <w:rPr>
            <w:rStyle w:val="Hyperlink"/>
            <w:sz w:val="24"/>
            <w:lang w:val="bg-BG"/>
          </w:rPr>
          <w:t>http://data.europa.eu/eli/dir/2013/29/oj</w:t>
        </w:r>
      </w:hyperlink>
      <w:r w:rsidRPr="006463C1">
        <w:rPr>
          <w:sz w:val="24"/>
          <w:lang w:val="bg-BG"/>
        </w:rPr>
        <w:t>).</w:t>
      </w:r>
    </w:p>
  </w:footnote>
  <w:footnote w:id="8">
    <w:p w:rsidR="00F35C0B" w:rsidRPr="006463C1" w:rsidP="006463C1" w14:paraId="55CEA9FD" w14:textId="2849DA4D">
      <w:pPr>
        <w:pStyle w:val="FootnoteText"/>
        <w:ind w:left="567" w:hanging="567"/>
        <w:rPr>
          <w:sz w:val="24"/>
          <w:lang w:val="bg-BG"/>
        </w:rPr>
      </w:pPr>
      <w:r w:rsidRPr="006463C1">
        <w:rPr>
          <w:rStyle w:val="FootnoteReference"/>
          <w:sz w:val="24"/>
          <w:lang w:val="bg-BG"/>
        </w:rPr>
        <w:footnoteRef/>
      </w:r>
      <w:r w:rsidRPr="006463C1" w:rsidR="006463C1">
        <w:rPr>
          <w:sz w:val="24"/>
          <w:lang w:val="bg-BG"/>
        </w:rPr>
        <w:t xml:space="preserve"> </w:t>
      </w:r>
      <w:r w:rsidRPr="006463C1" w:rsidR="006463C1">
        <w:rPr>
          <w:sz w:val="24"/>
          <w:lang w:val="bg-BG"/>
        </w:rPr>
        <w:tab/>
      </w:r>
      <w:r w:rsidRPr="006463C1">
        <w:rPr>
          <w:sz w:val="24"/>
          <w:lang w:val="bg-BG"/>
        </w:rPr>
        <w:t xml:space="preserve">Директива (ЕС) 2024/1712 на Европейския парламент и на Съвета от 13 юни 2024 г. за изменение на Директива 2011/36/ЕС относно предотвратяването и борбата с трафика на хора и защитата на жертвите от него (ОВ L, 2024/1712, 24.6.2024 г., ELI: </w:t>
      </w:r>
      <w:hyperlink r:id="rId6" w:history="1">
        <w:r w:rsidRPr="006463C1">
          <w:rPr>
            <w:rStyle w:val="Hyperlink"/>
            <w:sz w:val="24"/>
            <w:lang w:val="bg-BG"/>
          </w:rPr>
          <w:t>http://data.europa.eu/eli/dir/2024/1712/oj</w:t>
        </w:r>
      </w:hyperlink>
      <w:r w:rsidRPr="006463C1">
        <w:rPr>
          <w:sz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5809527">
    <w:abstractNumId w:val="9"/>
  </w:num>
  <w:num w:numId="2" w16cid:durableId="905804690">
    <w:abstractNumId w:val="9"/>
  </w:num>
  <w:num w:numId="3" w16cid:durableId="1013534697">
    <w:abstractNumId w:val="7"/>
  </w:num>
  <w:num w:numId="4" w16cid:durableId="1611546887">
    <w:abstractNumId w:val="7"/>
  </w:num>
  <w:num w:numId="5" w16cid:durableId="893740237">
    <w:abstractNumId w:val="6"/>
  </w:num>
  <w:num w:numId="6" w16cid:durableId="629478552">
    <w:abstractNumId w:val="6"/>
  </w:num>
  <w:num w:numId="7" w16cid:durableId="43916648">
    <w:abstractNumId w:val="5"/>
  </w:num>
  <w:num w:numId="8" w16cid:durableId="2063170692">
    <w:abstractNumId w:val="5"/>
  </w:num>
  <w:num w:numId="9" w16cid:durableId="1678271710">
    <w:abstractNumId w:val="4"/>
  </w:num>
  <w:num w:numId="10" w16cid:durableId="1303580734">
    <w:abstractNumId w:val="4"/>
  </w:num>
  <w:num w:numId="11" w16cid:durableId="1304500493">
    <w:abstractNumId w:val="8"/>
  </w:num>
  <w:num w:numId="12" w16cid:durableId="1868834420">
    <w:abstractNumId w:val="8"/>
  </w:num>
  <w:num w:numId="13" w16cid:durableId="765419193">
    <w:abstractNumId w:val="3"/>
  </w:num>
  <w:num w:numId="14" w16cid:durableId="1351108186">
    <w:abstractNumId w:val="3"/>
  </w:num>
  <w:num w:numId="15" w16cid:durableId="1338071720">
    <w:abstractNumId w:val="2"/>
  </w:num>
  <w:num w:numId="16" w16cid:durableId="451360581">
    <w:abstractNumId w:val="2"/>
  </w:num>
  <w:num w:numId="17" w16cid:durableId="1827041418">
    <w:abstractNumId w:val="1"/>
  </w:num>
  <w:num w:numId="18" w16cid:durableId="151677583">
    <w:abstractNumId w:val="1"/>
  </w:num>
  <w:num w:numId="19" w16cid:durableId="1244993998">
    <w:abstractNumId w:val="0"/>
  </w:num>
  <w:num w:numId="20" w16cid:durableId="1280406051">
    <w:abstractNumId w:val="0"/>
  </w:num>
  <w:num w:numId="21" w16cid:durableId="1535266565">
    <w:abstractNumId w:val="9"/>
  </w:num>
  <w:num w:numId="22" w16cid:durableId="283271409">
    <w:abstractNumId w:val="7"/>
  </w:num>
  <w:num w:numId="23" w16cid:durableId="1390615971">
    <w:abstractNumId w:val="6"/>
  </w:num>
  <w:num w:numId="24" w16cid:durableId="1077557897">
    <w:abstractNumId w:val="5"/>
  </w:num>
  <w:num w:numId="25" w16cid:durableId="361707777">
    <w:abstractNumId w:val="4"/>
  </w:num>
  <w:num w:numId="26" w16cid:durableId="2077703102">
    <w:abstractNumId w:val="8"/>
  </w:num>
  <w:num w:numId="27" w16cid:durableId="1802073262">
    <w:abstractNumId w:val="3"/>
  </w:num>
  <w:num w:numId="28" w16cid:durableId="2031442538">
    <w:abstractNumId w:val="2"/>
  </w:num>
  <w:num w:numId="29" w16cid:durableId="687492056">
    <w:abstractNumId w:val="1"/>
  </w:num>
  <w:num w:numId="30" w16cid:durableId="1273781142">
    <w:abstractNumId w:val="0"/>
  </w:num>
  <w:num w:numId="31" w16cid:durableId="258105831">
    <w:abstractNumId w:val="9"/>
  </w:num>
  <w:num w:numId="32" w16cid:durableId="545408479">
    <w:abstractNumId w:val="7"/>
  </w:num>
  <w:num w:numId="33" w16cid:durableId="887299178">
    <w:abstractNumId w:val="6"/>
  </w:num>
  <w:num w:numId="34" w16cid:durableId="1065760977">
    <w:abstractNumId w:val="5"/>
  </w:num>
  <w:num w:numId="35" w16cid:durableId="948590274">
    <w:abstractNumId w:val="4"/>
  </w:num>
  <w:num w:numId="36" w16cid:durableId="1488131921">
    <w:abstractNumId w:val="8"/>
  </w:num>
  <w:num w:numId="37" w16cid:durableId="1979992492">
    <w:abstractNumId w:val="3"/>
  </w:num>
  <w:num w:numId="38" w16cid:durableId="1871213269">
    <w:abstractNumId w:val="2"/>
  </w:num>
  <w:num w:numId="39" w16cid:durableId="2029792297">
    <w:abstractNumId w:val="1"/>
  </w:num>
  <w:num w:numId="40" w16cid:durableId="216556219">
    <w:abstractNumId w:val="0"/>
  </w:num>
  <w:num w:numId="41" w16cid:durableId="961884232">
    <w:abstractNumId w:val="10"/>
  </w:num>
  <w:num w:numId="42" w16cid:durableId="1768192227">
    <w:abstractNumId w:val="10"/>
  </w:num>
  <w:num w:numId="43" w16cid:durableId="1442991281">
    <w:abstractNumId w:val="10"/>
  </w:num>
  <w:num w:numId="44" w16cid:durableId="1837304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A0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940"/>
    <w:rsid w:val="006037C0"/>
    <w:rsid w:val="00616563"/>
    <w:rsid w:val="006463C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A5C"/>
    <w:rsid w:val="00817416"/>
    <w:rsid w:val="00821110"/>
    <w:rsid w:val="00842779"/>
    <w:rsid w:val="00865F67"/>
    <w:rsid w:val="00881A7B"/>
    <w:rsid w:val="008840E5"/>
    <w:rsid w:val="00887B3E"/>
    <w:rsid w:val="008B55F3"/>
    <w:rsid w:val="008C2AC6"/>
    <w:rsid w:val="00930C23"/>
    <w:rsid w:val="0093193B"/>
    <w:rsid w:val="009509D8"/>
    <w:rsid w:val="00950B64"/>
    <w:rsid w:val="00981893"/>
    <w:rsid w:val="009E22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80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7AB"/>
    <w:rsid w:val="00ED169E"/>
    <w:rsid w:val="00ED4235"/>
    <w:rsid w:val="00F04346"/>
    <w:rsid w:val="00F075DC"/>
    <w:rsid w:val="00F149E9"/>
    <w:rsid w:val="00F35C0B"/>
    <w:rsid w:val="00F5134D"/>
    <w:rsid w:val="00F74202"/>
    <w:rsid w:val="00F87713"/>
    <w:rsid w:val="00FB4360"/>
    <w:rsid w:val="00FC64ED"/>
    <w:rsid w:val="00FD0C70"/>
  </w:rsids>
  <w:docVars>
    <w:docVar w:name="dvdocse" w:val="B10-0275/2026"/>
    <w:docVar w:name="dvlangue" w:val="BG"/>
    <w:docVar w:name="dvnumam" w:val="0"/>
    <w:docVar w:name="dvpe" w:val="783.329"/>
    <w:docVar w:name="dvtitre" w:val="Резолюция на Европейския парламент от ... 2026 г. относно вербуването на деца от страна на организираната престъпност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F6BEB3"/>
  <w15:chartTrackingRefBased/>
  <w15:docId w15:val="{FF908C21-8534-457C-9202-7A94F5B7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5C0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35C0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35C0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35C0B"/>
    <w:rPr>
      <w:sz w:val="24"/>
      <w:lang w:val="bg-BG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F35C0B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9E229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2910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2026-06-18T13:35:00Z</dcterms:created>
  <dcterms:modified xsi:type="dcterms:W3CDTF">2026-06-18T13:35:00Z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