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8778E5F" w14:textId="77777777" w:rsidTr="0010095E">
        <w:tblPrEx>
          <w:tblW w:w="9072" w:type="dxa"/>
          <w:tblLook w:val="01E0"/>
        </w:tblPrEx>
        <w:trPr>
          <w:trHeight w:hRule="exact" w:val="1418"/>
        </w:trPr>
        <w:tc>
          <w:tcPr>
            <w:tcW w:w="6804" w:type="dxa"/>
            <w:shd w:val="clear" w:color="auto" w:fill="auto"/>
            <w:vAlign w:val="center"/>
          </w:tcPr>
          <w:p w:rsidR="00751A4A" w:rsidRPr="00AD449A" w:rsidP="0010095E" w14:paraId="1B2AD480" w14:textId="77777777">
            <w:pPr>
              <w:pStyle w:val="EPName"/>
            </w:pPr>
            <w:r w:rsidRPr="00AD449A">
              <w:t>Europa-Parlamentet</w:t>
            </w:r>
          </w:p>
          <w:p w:rsidR="00751A4A" w:rsidRPr="00AD449A" w:rsidP="005F1B17" w14:paraId="5526F389" w14:textId="77777777">
            <w:pPr>
              <w:pStyle w:val="EPTerm"/>
              <w:rPr>
                <w:rStyle w:val="HideTWBExt"/>
                <w:noProof w:val="0"/>
                <w:vanish w:val="0"/>
                <w:color w:val="auto"/>
              </w:rPr>
            </w:pPr>
            <w:r w:rsidRPr="00AD449A">
              <w:t>2024</w:t>
            </w:r>
            <w:r w:rsidRPr="00AD449A" w:rsidR="00817416">
              <w:t>-202</w:t>
            </w:r>
            <w:r w:rsidRPr="00AD449A">
              <w:t>9</w:t>
            </w:r>
          </w:p>
        </w:tc>
        <w:tc>
          <w:tcPr>
            <w:tcW w:w="2268" w:type="dxa"/>
            <w:shd w:val="clear" w:color="auto" w:fill="auto"/>
          </w:tcPr>
          <w:p w:rsidR="00751A4A" w:rsidRPr="00AD449A" w:rsidP="0010095E" w14:paraId="5259C215" w14:textId="77777777">
            <w:pPr>
              <w:pStyle w:val="EPLogo"/>
            </w:pPr>
            <w:r w:rsidRPr="00AD449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D449A" w:rsidP="004C5D52" w14:paraId="7D9DBE2E" w14:textId="77777777">
      <w:pPr>
        <w:pStyle w:val="LineTop"/>
      </w:pPr>
    </w:p>
    <w:p w:rsidR="00680577" w:rsidRPr="00AD449A" w:rsidP="00680577" w14:paraId="2795EB97" w14:textId="77777777">
      <w:pPr>
        <w:pStyle w:val="EPBodyTA1"/>
      </w:pPr>
      <w:r w:rsidRPr="00AD449A">
        <w:t>VEDTAGNE TEKSTER</w:t>
      </w:r>
    </w:p>
    <w:p w:rsidR="00D058B8" w:rsidRPr="00AD449A" w:rsidP="00D058B8" w14:paraId="3D7BC384" w14:textId="77777777">
      <w:pPr>
        <w:pStyle w:val="LineBottom"/>
      </w:pPr>
    </w:p>
    <w:p w:rsidR="00652491" w:rsidRPr="00AD449A" w:rsidP="00652491" w14:paraId="5008799E" w14:textId="3EC19A14">
      <w:pPr>
        <w:pStyle w:val="ATHeading1"/>
      </w:pPr>
      <w:bookmarkStart w:id="0" w:name="TANumber"/>
      <w:r w:rsidRPr="00AD449A">
        <w:t>P10_TA(2026)0</w:t>
      </w:r>
      <w:bookmarkEnd w:id="0"/>
      <w:r w:rsidR="00A01D30">
        <w:t>230</w:t>
      </w:r>
    </w:p>
    <w:p w:rsidR="00652491" w:rsidRPr="00AD449A" w:rsidP="00652491" w14:paraId="702E73FE" w14:textId="72DBC6DD">
      <w:pPr>
        <w:pStyle w:val="ATHeading2"/>
      </w:pPr>
      <w:bookmarkStart w:id="1" w:name="title"/>
      <w:r>
        <w:t>R</w:t>
      </w:r>
      <w:r w:rsidRPr="00AD449A">
        <w:t>ekruttering af børn til organiseret kriminalitet</w:t>
      </w:r>
      <w:bookmarkEnd w:id="1"/>
    </w:p>
    <w:p w:rsidR="00652491" w:rsidRPr="00AD449A" w:rsidP="00652491" w14:paraId="4124D00F" w14:textId="77777777">
      <w:pPr>
        <w:rPr>
          <w:i/>
          <w:vanish/>
        </w:rPr>
      </w:pPr>
      <w:r>
        <w:rPr>
          <w:i/>
        </w:rPr>
        <w:fldChar w:fldCharType="begin"/>
      </w:r>
      <w:r w:rsidRPr="00AD449A">
        <w:rPr>
          <w:i/>
        </w:rPr>
        <w:instrText xml:space="preserve"> TC"(</w:instrText>
      </w:r>
      <w:bookmarkStart w:id="2" w:name="DocNumber"/>
      <w:r w:rsidRPr="00AD449A">
        <w:rPr>
          <w:i/>
        </w:rPr>
        <w:instrText>B10-0275/2026</w:instrText>
      </w:r>
      <w:bookmarkEnd w:id="2"/>
      <w:r w:rsidRPr="00AD449A">
        <w:rPr>
          <w:i/>
        </w:rPr>
        <w:instrText xml:space="preserve">)"\l3 \n&gt; \* MERGEFORMAT </w:instrText>
      </w:r>
      <w:r>
        <w:rPr>
          <w:i/>
        </w:rPr>
        <w:fldChar w:fldCharType="end"/>
      </w:r>
    </w:p>
    <w:p w:rsidR="00652491" w:rsidRPr="00AD449A" w:rsidP="00652491" w14:paraId="3C4EA1CC" w14:textId="77777777">
      <w:pPr>
        <w:rPr>
          <w:vanish/>
        </w:rPr>
      </w:pPr>
      <w:bookmarkStart w:id="3" w:name="PE"/>
      <w:r w:rsidRPr="00AD449A">
        <w:rPr>
          <w:vanish/>
        </w:rPr>
        <w:t>PE783.329</w:t>
      </w:r>
      <w:bookmarkEnd w:id="3"/>
    </w:p>
    <w:p w:rsidR="00652491" w:rsidRPr="00AD449A" w:rsidP="00652491" w14:paraId="2FA1DA7D" w14:textId="1CF6179F">
      <w:pPr>
        <w:pStyle w:val="ATHeading3"/>
      </w:pPr>
      <w:bookmarkStart w:id="4" w:name="Sujet"/>
      <w:r w:rsidRPr="00AD449A">
        <w:t xml:space="preserve">Europa-Parlamentets beslutning af </w:t>
      </w:r>
      <w:r w:rsidR="00CA5484">
        <w:t>18. juni</w:t>
      </w:r>
      <w:r w:rsidRPr="00AD449A">
        <w:t xml:space="preserve"> 2026 om rekruttering af børn til organiseret kriminalitet</w:t>
      </w:r>
      <w:bookmarkEnd w:id="4"/>
      <w:r w:rsidRPr="00AD449A">
        <w:t xml:space="preserve"> </w:t>
      </w:r>
      <w:bookmarkStart w:id="5" w:name="References"/>
      <w:r w:rsidRPr="00AD449A">
        <w:t>(2026/2725(RSP))</w:t>
      </w:r>
      <w:bookmarkEnd w:id="5"/>
    </w:p>
    <w:p w:rsidR="006D1932" w:rsidRPr="00AD449A" w:rsidP="006D1932" w14:paraId="504022F1" w14:textId="77777777">
      <w:pPr>
        <w:pStyle w:val="EPComma"/>
      </w:pPr>
      <w:bookmarkStart w:id="6" w:name="TextBodyBegin"/>
      <w:bookmarkEnd w:id="6"/>
      <w:r w:rsidRPr="00AD449A">
        <w:rPr>
          <w:i/>
          <w:iCs/>
        </w:rPr>
        <w:t>Europa-Parlamentet,</w:t>
      </w:r>
    </w:p>
    <w:p w:rsidR="006D1932" w:rsidRPr="00AD449A" w:rsidP="006D1932" w14:paraId="478953CA" w14:textId="77777777">
      <w:pPr>
        <w:pStyle w:val="NormalHanging12a"/>
        <w:rPr>
          <w:spacing w:val="-2"/>
        </w:rPr>
      </w:pPr>
      <w:r w:rsidRPr="00AD449A">
        <w:t>–</w:t>
      </w:r>
      <w:r w:rsidRPr="00AD449A">
        <w:tab/>
        <w:t>der henviser til FN's konvention om barnets rettigheder,</w:t>
      </w:r>
    </w:p>
    <w:p w:rsidR="006D1932" w:rsidRPr="00AD449A" w:rsidP="006D1932" w14:paraId="7A6036DC" w14:textId="77777777">
      <w:pPr>
        <w:pStyle w:val="NormalHanging12a"/>
        <w:rPr>
          <w:spacing w:val="-2"/>
        </w:rPr>
      </w:pPr>
      <w:r w:rsidRPr="00AD449A">
        <w:t>–</w:t>
      </w:r>
      <w:r w:rsidRPr="00AD449A">
        <w:tab/>
        <w:t>der henviser til FN's Generalforsamlings resolution 79/188 om forebyggelse og bekæmpelse af vold mod børn begået af organiserede kriminelle grupper og terrorgrupper inden for kriminalitetsforebyggelse og strafferet,</w:t>
      </w:r>
    </w:p>
    <w:p w:rsidR="006D1932" w:rsidRPr="00AD449A" w:rsidP="006D1932" w14:paraId="582584E4" w14:textId="77777777">
      <w:pPr>
        <w:pStyle w:val="NormalHanging12a"/>
        <w:rPr>
          <w:spacing w:val="-2"/>
        </w:rPr>
      </w:pPr>
      <w:r w:rsidRPr="00AD449A">
        <w:t>–</w:t>
      </w:r>
      <w:r w:rsidRPr="00AD449A">
        <w:tab/>
        <w:t>der henviser til FN's Økonomiske og Sociale Råds resolution 2024/12 om behandlingen af børn med tilknytning til terrorgrupper, herunder børn, der rekrutteres og udnyttes af disse grupper,</w:t>
      </w:r>
    </w:p>
    <w:p w:rsidR="006D1932" w:rsidRPr="00AD449A" w:rsidP="006D1932" w14:paraId="3267F91E" w14:textId="77777777">
      <w:pPr>
        <w:pStyle w:val="NormalHanging12a"/>
        <w:rPr>
          <w:spacing w:val="-2"/>
        </w:rPr>
      </w:pPr>
      <w:r w:rsidRPr="00AD449A">
        <w:t>–</w:t>
      </w:r>
      <w:r w:rsidRPr="00AD449A">
        <w:tab/>
        <w:t>der henviser til Kommissionens meddelelse af 1. april 2025 med titlen "</w:t>
      </w:r>
      <w:r w:rsidRPr="00AD449A">
        <w:t>ProtectEU</w:t>
      </w:r>
      <w:r w:rsidRPr="00AD449A">
        <w:t xml:space="preserve"> 2025-2030: en EU-strategi for indre sikkerhed" (COM(2025)0148),</w:t>
      </w:r>
    </w:p>
    <w:p w:rsidR="006D1932" w:rsidRPr="00AD449A" w:rsidP="006D1932" w14:paraId="59CCC904" w14:textId="77777777">
      <w:pPr>
        <w:pStyle w:val="NormalHanging12a"/>
        <w:rPr>
          <w:spacing w:val="-2"/>
        </w:rPr>
      </w:pPr>
      <w:r w:rsidRPr="00AD449A">
        <w:t>–</w:t>
      </w:r>
      <w:r w:rsidRPr="00AD449A">
        <w:tab/>
        <w:t xml:space="preserve">der henviser til Europols trusselsvurdering om alvorlig og organiseret kriminalitet (EU SOCTA) 2025 ("EU </w:t>
      </w:r>
      <w:r w:rsidRPr="00AD449A">
        <w:t>Serious</w:t>
      </w:r>
      <w:r w:rsidRPr="00AD449A">
        <w:t xml:space="preserve"> and </w:t>
      </w:r>
      <w:r w:rsidRPr="00AD449A">
        <w:t>Organised</w:t>
      </w:r>
      <w:r w:rsidRPr="00AD449A">
        <w:t xml:space="preserve"> Crime </w:t>
      </w:r>
      <w:r w:rsidRPr="00AD449A">
        <w:t>Threat</w:t>
      </w:r>
      <w:r w:rsidRPr="00AD449A">
        <w:t xml:space="preserve"> </w:t>
      </w:r>
      <w:r w:rsidRPr="00AD449A">
        <w:t>Assessment</w:t>
      </w:r>
      <w:r w:rsidRPr="00AD449A">
        <w:t>"),</w:t>
      </w:r>
    </w:p>
    <w:p w:rsidR="006D1932" w:rsidRPr="00AD449A" w:rsidP="006D1932" w14:paraId="2048857B" w14:textId="77777777">
      <w:pPr>
        <w:pStyle w:val="NormalHanging12a"/>
        <w:rPr>
          <w:spacing w:val="-2"/>
        </w:rPr>
      </w:pPr>
      <w:r w:rsidRPr="00AD449A">
        <w:t>–</w:t>
      </w:r>
      <w:r w:rsidRPr="00AD449A">
        <w:tab/>
        <w:t>der henviser til den kommende EU-handlingsplan for beskyttelse af børn mod kriminalitet,</w:t>
      </w:r>
    </w:p>
    <w:p w:rsidR="006D1932" w:rsidRPr="00AD449A" w:rsidP="006D1932" w14:paraId="19359029" w14:textId="77777777">
      <w:pPr>
        <w:pStyle w:val="NormalHanging12a"/>
        <w:rPr>
          <w:spacing w:val="-2"/>
        </w:rPr>
      </w:pPr>
      <w:r w:rsidRPr="00AD449A">
        <w:t>–</w:t>
      </w:r>
      <w:r w:rsidRPr="00AD449A">
        <w:tab/>
        <w:t>der henviser til EU's og FN's Kontor for Narkotikakontrol og Kriminalitetsbekæmpelses (</w:t>
      </w:r>
      <w:r w:rsidRPr="00AD449A">
        <w:t>UNODC's</w:t>
      </w:r>
      <w:r w:rsidRPr="00AD449A">
        <w:t>) STRIVE-ungdomsprojekt og resultaterne af evalueringen heraf,</w:t>
      </w:r>
    </w:p>
    <w:p w:rsidR="006D1932" w:rsidRPr="00AD449A" w:rsidP="006D1932" w14:paraId="36E82B85" w14:textId="77777777">
      <w:pPr>
        <w:pStyle w:val="NormalHanging12a"/>
      </w:pPr>
      <w:bookmarkStart w:id="7" w:name="_Hlk231207339"/>
      <w:r w:rsidRPr="00AD449A">
        <w:rPr>
          <w:snapToGrid w:val="0"/>
        </w:rPr>
        <w:t>–</w:t>
      </w:r>
      <w:r w:rsidRPr="00AD449A">
        <w:rPr>
          <w:snapToGrid w:val="0"/>
        </w:rPr>
        <w:tab/>
      </w:r>
      <w:r w:rsidRPr="00AD449A">
        <w:t>der henviser til Europa-Parlamentets og Rådets forordning (EU) 2022/2065 af 19. oktober 2022 om et indre marked for digitale tjenester og om ændring af direktiv 2000/31/EF (forordning om digitale tjenester)</w:t>
      </w:r>
      <w:r>
        <w:rPr>
          <w:rStyle w:val="FootnoteReference"/>
        </w:rPr>
        <w:footnoteReference w:id="2"/>
      </w:r>
      <w:r w:rsidRPr="00AD449A">
        <w:t>, navnlig dens bestemmelser om beskyttelse af mindreårige online, vurdering og afbødning af systemiske risici i forbindelse med ulovligt indhold og skadelig onlineadfærd, anbefalingssystemer og meget store onlineplatformes og søgemaskiners ansvar,</w:t>
      </w:r>
    </w:p>
    <w:p w:rsidR="006D1932" w:rsidRPr="00AD449A" w:rsidP="006D1932" w14:paraId="03DA50C2" w14:textId="77777777">
      <w:pPr>
        <w:pStyle w:val="NormalHanging12a"/>
      </w:pPr>
      <w:r w:rsidRPr="00AD449A">
        <w:rPr>
          <w:snapToGrid w:val="0"/>
        </w:rPr>
        <w:t>–</w:t>
      </w:r>
      <w:r w:rsidRPr="00AD449A">
        <w:rPr>
          <w:snapToGrid w:val="0"/>
        </w:rPr>
        <w:tab/>
      </w:r>
      <w:r w:rsidRPr="00AD449A">
        <w:t xml:space="preserve">der henviser til Kommissionens retningslinjer i henhold til forordningen om digitale </w:t>
      </w:r>
      <w:r w:rsidRPr="00AD449A">
        <w:t>tjenester om beskyttelse af mindreårige af 14. juli 2025</w:t>
      </w:r>
      <w:r>
        <w:rPr>
          <w:rStyle w:val="FootnoteReference"/>
        </w:rPr>
        <w:footnoteReference w:id="3"/>
      </w:r>
      <w:r w:rsidRPr="00AD449A">
        <w:t>,</w:t>
      </w:r>
    </w:p>
    <w:p w:rsidR="006D1932" w:rsidRPr="00AD449A" w:rsidP="006D1932" w14:paraId="6958C1DF" w14:textId="77777777">
      <w:pPr>
        <w:pStyle w:val="NormalHanging12a"/>
      </w:pPr>
      <w:r w:rsidRPr="00AD449A">
        <w:rPr>
          <w:snapToGrid w:val="0"/>
        </w:rPr>
        <w:t>–</w:t>
      </w:r>
      <w:r w:rsidRPr="00AD449A">
        <w:rPr>
          <w:snapToGrid w:val="0"/>
        </w:rPr>
        <w:tab/>
      </w:r>
      <w:r w:rsidRPr="00AD449A">
        <w:t xml:space="preserve">der henviser til Europols efterretningsmeddelelse af 12. november 2024 om rekruttering af unge gerningsmænd til kriminelle netværk ("The </w:t>
      </w:r>
      <w:r w:rsidRPr="00AD449A">
        <w:t>recruitment</w:t>
      </w:r>
      <w:r w:rsidRPr="00AD449A">
        <w:t xml:space="preserve"> of </w:t>
      </w:r>
      <w:r w:rsidRPr="00AD449A">
        <w:t>young</w:t>
      </w:r>
      <w:r w:rsidRPr="00AD449A">
        <w:t xml:space="preserve"> </w:t>
      </w:r>
      <w:r w:rsidRPr="00AD449A">
        <w:t>perpetrators</w:t>
      </w:r>
      <w:r w:rsidRPr="00AD449A">
        <w:t xml:space="preserve"> for </w:t>
      </w:r>
      <w:r w:rsidRPr="00AD449A">
        <w:t>criminal</w:t>
      </w:r>
      <w:r w:rsidRPr="00AD449A">
        <w:t xml:space="preserve"> </w:t>
      </w:r>
      <w:r w:rsidRPr="00AD449A">
        <w:t>networks</w:t>
      </w:r>
      <w:r w:rsidRPr="00AD449A">
        <w:t>"),</w:t>
      </w:r>
    </w:p>
    <w:p w:rsidR="006D1932" w:rsidRPr="00AD449A" w:rsidP="006D1932" w14:paraId="0D1265FA" w14:textId="77777777">
      <w:pPr>
        <w:pStyle w:val="NormalHanging12a"/>
      </w:pPr>
      <w:r w:rsidRPr="00AD449A">
        <w:rPr>
          <w:snapToGrid w:val="0"/>
        </w:rPr>
        <w:t>–</w:t>
      </w:r>
      <w:r w:rsidRPr="00AD449A">
        <w:rPr>
          <w:snapToGrid w:val="0"/>
        </w:rPr>
        <w:tab/>
      </w:r>
      <w:r w:rsidRPr="00AD449A">
        <w:t xml:space="preserve">der henviser til arbejdsdokument fra UNICEF </w:t>
      </w:r>
      <w:r w:rsidRPr="00AD449A">
        <w:t>Innocenti</w:t>
      </w:r>
      <w:r w:rsidRPr="00AD449A">
        <w:t xml:space="preserve"> – Global Office of Research and </w:t>
      </w:r>
      <w:r w:rsidRPr="00AD449A">
        <w:t>Foresight</w:t>
      </w:r>
      <w:r w:rsidRPr="00AD449A">
        <w:t xml:space="preserve"> fra september 2024 med titlen "</w:t>
      </w:r>
      <w:r w:rsidRPr="00AD449A">
        <w:t>Children's</w:t>
      </w:r>
      <w:r w:rsidRPr="00AD449A">
        <w:t xml:space="preserve"> </w:t>
      </w:r>
      <w:r w:rsidRPr="00AD449A">
        <w:t>Involvement</w:t>
      </w:r>
      <w:r w:rsidRPr="00AD449A">
        <w:t xml:space="preserve"> in </w:t>
      </w:r>
      <w:r w:rsidRPr="00AD449A">
        <w:t>Organised</w:t>
      </w:r>
      <w:r w:rsidRPr="00AD449A">
        <w:t xml:space="preserve"> </w:t>
      </w:r>
      <w:r w:rsidRPr="00AD449A">
        <w:t>Violence</w:t>
      </w:r>
      <w:r w:rsidRPr="00AD449A">
        <w:t xml:space="preserve">: </w:t>
      </w:r>
      <w:r w:rsidRPr="00AD449A">
        <w:t>Emerging</w:t>
      </w:r>
      <w:r w:rsidRPr="00AD449A">
        <w:t xml:space="preserve"> trends and </w:t>
      </w:r>
      <w:r w:rsidRPr="00AD449A">
        <w:t>knowledge</w:t>
      </w:r>
      <w:r w:rsidRPr="00AD449A">
        <w:t xml:space="preserve"> </w:t>
      </w:r>
      <w:r w:rsidRPr="00AD449A">
        <w:t>gaps</w:t>
      </w:r>
      <w:r w:rsidRPr="00AD449A">
        <w:t xml:space="preserve">" (Børns deltagelse i organiseret vold: nye tendenser og </w:t>
      </w:r>
      <w:r w:rsidRPr="00AD449A">
        <w:t>videnshuller</w:t>
      </w:r>
      <w:r w:rsidRPr="00AD449A">
        <w:t>),</w:t>
      </w:r>
    </w:p>
    <w:bookmarkEnd w:id="7"/>
    <w:p w:rsidR="006D1932" w:rsidRPr="00AD449A" w:rsidP="006D1932" w14:paraId="15DED2C2" w14:textId="77777777">
      <w:pPr>
        <w:pStyle w:val="NormalHanging12a"/>
        <w:rPr>
          <w:bCs/>
          <w:spacing w:val="-2"/>
        </w:rPr>
      </w:pPr>
      <w:r w:rsidRPr="00AD449A">
        <w:t>–</w:t>
      </w:r>
      <w:r w:rsidRPr="00AD449A">
        <w:tab/>
        <w:t>der henviser til EU's strategi for børns rettigheder og EU's narkotikastrategi,</w:t>
      </w:r>
    </w:p>
    <w:p w:rsidR="006D1932" w:rsidRPr="00AD449A" w:rsidP="006D1932" w14:paraId="20481307" w14:textId="77777777">
      <w:pPr>
        <w:pStyle w:val="NormalHanging12a"/>
        <w:rPr>
          <w:bCs/>
          <w:spacing w:val="-2"/>
        </w:rPr>
      </w:pPr>
      <w:r w:rsidRPr="00AD449A">
        <w:t>–</w:t>
      </w:r>
      <w:r w:rsidRPr="00AD449A">
        <w:tab/>
        <w:t>der henviser til høringen i Udvalget om Borgernes Rettigheder og Retlige og Indre Anliggender den 4. juni 2025 med titlen "</w:t>
      </w:r>
      <w:r w:rsidRPr="00AD449A">
        <w:t>Radicalisation</w:t>
      </w:r>
      <w:r w:rsidRPr="00AD449A">
        <w:t xml:space="preserve"> online, with a </w:t>
      </w:r>
      <w:r w:rsidRPr="00AD449A">
        <w:t>focus</w:t>
      </w:r>
      <w:r w:rsidRPr="00AD449A">
        <w:t xml:space="preserve"> on the </w:t>
      </w:r>
      <w:r w:rsidRPr="00AD449A">
        <w:t>recruitment</w:t>
      </w:r>
      <w:r w:rsidRPr="00AD449A">
        <w:t xml:space="preserve"> of </w:t>
      </w:r>
      <w:r w:rsidRPr="00AD449A">
        <w:t>children</w:t>
      </w:r>
      <w:r w:rsidRPr="00AD449A">
        <w:t xml:space="preserve"> for </w:t>
      </w:r>
      <w:r w:rsidRPr="00AD449A">
        <w:t>organised</w:t>
      </w:r>
      <w:r w:rsidRPr="00AD449A">
        <w:t xml:space="preserve"> </w:t>
      </w:r>
      <w:r w:rsidRPr="00AD449A">
        <w:t>crime</w:t>
      </w:r>
      <w:r w:rsidRPr="00AD449A">
        <w:t xml:space="preserve"> and </w:t>
      </w:r>
      <w:r w:rsidRPr="00AD449A">
        <w:t>terrorism</w:t>
      </w:r>
      <w:r w:rsidRPr="00AD449A">
        <w:t>" (Radikalisering online med fokus på rekruttering af børn til organiseret kriminalitet og terrorisme),</w:t>
      </w:r>
    </w:p>
    <w:p w:rsidR="000A782F" w:rsidP="006D1932" w14:paraId="260427DD" w14:textId="77777777">
      <w:pPr>
        <w:pStyle w:val="NormalHanging12a"/>
      </w:pPr>
      <w:r w:rsidRPr="00AD449A">
        <w:t>–</w:t>
      </w:r>
      <w:r w:rsidRPr="00AD449A">
        <w:tab/>
        <w:t xml:space="preserve">der henviser til sin beslutning af 20. januar 2026 om mordet på Mehdi </w:t>
      </w:r>
      <w:r w:rsidRPr="00AD449A">
        <w:t>Kessaci</w:t>
      </w:r>
      <w:r w:rsidRPr="00AD449A">
        <w:t>: presserende behov for en ambitiøs europæisk indsats mod narkotikahandel</w:t>
      </w:r>
      <w:r>
        <w:rPr>
          <w:rStyle w:val="FootnoteReference"/>
        </w:rPr>
        <w:footnoteReference w:id="4"/>
      </w:r>
      <w:r w:rsidRPr="00AD449A">
        <w:t>,</w:t>
      </w:r>
    </w:p>
    <w:p w:rsidR="006D1932" w:rsidRPr="00AD449A" w:rsidP="006D1932" w14:paraId="36832CF8" w14:textId="4D6DEB27">
      <w:pPr>
        <w:pStyle w:val="NormalHanging12a"/>
        <w:rPr>
          <w:spacing w:val="-2"/>
        </w:rPr>
      </w:pPr>
      <w:r w:rsidRPr="00AD449A">
        <w:t>–</w:t>
      </w:r>
      <w:r w:rsidRPr="00AD449A">
        <w:tab/>
        <w:t>der henviser til Europa-Parlamentets og Rådets direktiv (EU) 2016/800 af 11. maj 2016 om retssikkerhedsgarantier for børn, der er mistænkt eller tiltalt i straffesager</w:t>
      </w:r>
      <w:r>
        <w:rPr>
          <w:rStyle w:val="FootnoteReference"/>
        </w:rPr>
        <w:footnoteReference w:id="5"/>
      </w:r>
      <w:r w:rsidRPr="00AD449A">
        <w:t>,</w:t>
      </w:r>
    </w:p>
    <w:p w:rsidR="006D1932" w:rsidRPr="00AD449A" w:rsidP="006D1932" w14:paraId="616103AD" w14:textId="77777777">
      <w:pPr>
        <w:pStyle w:val="NormalHanging12a"/>
      </w:pPr>
      <w:r w:rsidRPr="00AD449A">
        <w:t>–</w:t>
      </w:r>
      <w:r w:rsidRPr="00AD449A">
        <w:tab/>
        <w:t>der henviser til forretningsordenens artikel 136, stk. 2,</w:t>
      </w:r>
    </w:p>
    <w:p w:rsidR="006D1932" w:rsidRPr="00AD449A" w:rsidP="006D1932" w14:paraId="61D6FF07" w14:textId="77777777">
      <w:pPr>
        <w:pStyle w:val="NormalHanging12a"/>
      </w:pPr>
      <w:r w:rsidRPr="00AD449A">
        <w:t>A.</w:t>
      </w:r>
      <w:r w:rsidRPr="00AD449A">
        <w:rPr>
          <w:snapToGrid w:val="0"/>
        </w:rPr>
        <w:tab/>
      </w:r>
      <w:r w:rsidRPr="00AD449A">
        <w:t>der henviser til, at organiserede kriminelle grupper og terrorgrupper i stigende grad rekrutterer og udnytter børn som led i deres operationelle strategier, herunder for at beskytte voksne gerningsmænd mod afsløring og retsforfølgning og for at udvide omfanget af ulovlige aktiviteter;</w:t>
      </w:r>
    </w:p>
    <w:p w:rsidR="006D1932" w:rsidRPr="00AD449A" w:rsidP="006D1932" w14:paraId="1002A110" w14:textId="77777777">
      <w:pPr>
        <w:pStyle w:val="NormalHanging12a"/>
      </w:pPr>
      <w:r w:rsidRPr="00AD449A">
        <w:rPr>
          <w:snapToGrid w:val="0"/>
        </w:rPr>
        <w:t>B.</w:t>
      </w:r>
      <w:r w:rsidRPr="00AD449A">
        <w:rPr>
          <w:snapToGrid w:val="0"/>
        </w:rPr>
        <w:tab/>
      </w:r>
      <w:r w:rsidRPr="00AD449A">
        <w:t>der henviser til, at det af Europols efterretningsmeddelelse fra november 2024 fremgår, at mindreårige, der rekrutteres af kriminelle netværk, typisk ikke har nogen direkte kontakt med de højere niveauer i organisationer og rekrutteres gennem udbydere af kriminelle tjenester; der henviser til, at disse mindreåriges begrænsede kendskab til netværkenes struktur og den hyppige mangel på tidligere domme mod dem gør dem til lavrisikopersoner, som i mindre grad kan give nyttige oplysninger til de retshåndhævende myndigheder, hvis de anholdes;</w:t>
      </w:r>
    </w:p>
    <w:p w:rsidR="006D1932" w:rsidRPr="00AD449A" w:rsidP="006D1932" w14:paraId="4FE99D68" w14:textId="77777777">
      <w:pPr>
        <w:pStyle w:val="NormalHanging12a"/>
      </w:pPr>
      <w:r w:rsidRPr="00AD449A">
        <w:rPr>
          <w:snapToGrid w:val="0"/>
        </w:rPr>
        <w:t>C.</w:t>
      </w:r>
      <w:r w:rsidRPr="00AD449A">
        <w:rPr>
          <w:snapToGrid w:val="0"/>
        </w:rPr>
        <w:tab/>
      </w:r>
      <w:r w:rsidRPr="00AD449A">
        <w:t>der henviser til, at organiserede kriminelle gruppers og terrorgruppers rekruttering og udnyttelse af børn krænker børns grundlæggende rettigheder, herunder deres værdighed, og at det har alvorlige konsekvenser for deres sikkerhed og fremtid; der henviser til, at børns sårbarhed over for organiserede kriminelle netværks rekruttering bunder i en række indbyrdes forbundne risikofaktorer, herunder en manglende følelse af at høre til, negative oplevelser i barndommen og mentale sundhedsudfordringer, som bevidst udnyttes; der henviser til, at effektiv forebyggelse kun er mulig med en samlet indsats, der tager fat på disse faktorer;</w:t>
      </w:r>
    </w:p>
    <w:p w:rsidR="006D1932" w:rsidRPr="00AD449A" w:rsidP="006D1932" w14:paraId="50487A45" w14:textId="77777777">
      <w:pPr>
        <w:pStyle w:val="NormalHanging12a"/>
      </w:pPr>
      <w:r w:rsidRPr="00AD449A">
        <w:rPr>
          <w:snapToGrid w:val="0"/>
        </w:rPr>
        <w:t>D.</w:t>
      </w:r>
      <w:r w:rsidRPr="00AD449A">
        <w:rPr>
          <w:snapToGrid w:val="0"/>
        </w:rPr>
        <w:tab/>
      </w:r>
      <w:r w:rsidRPr="00AD449A">
        <w:t>der henviser til, at rekruttering af børn har udviklet sig fra primært at være et problem med fokus på de involverede børns situation til at udgøre en vigtig og systematisk faktor for organiseret kriminalitet, og at rekruttering af børn er blevet integreret i de operationelle modeller for kriminelle netværk og udgør en hindring for fred, sikkerhed og udvikling; der henviser til, at kriminelle grupper, der rekrutterer børn, undergraver EU's sikkerhed, giver næring til kriminalitet og fastholder volds- og usikkerhedscyklusser på tværs af generationer;</w:t>
      </w:r>
    </w:p>
    <w:p w:rsidR="006D1932" w:rsidRPr="00AD449A" w:rsidP="006D1932" w14:paraId="07877A98" w14:textId="77777777">
      <w:pPr>
        <w:pStyle w:val="NormalHanging12a"/>
      </w:pPr>
      <w:r w:rsidRPr="00AD449A">
        <w:rPr>
          <w:snapToGrid w:val="0"/>
        </w:rPr>
        <w:t>E.</w:t>
      </w:r>
      <w:r w:rsidRPr="00AD449A">
        <w:rPr>
          <w:snapToGrid w:val="0"/>
        </w:rPr>
        <w:tab/>
      </w:r>
      <w:r w:rsidRPr="00AD449A">
        <w:t>der henviser til, at denne praksis fremmes af visse teknologiske udviklinger, der kan normalisere og tilskynde til kriminel adfærd blandt børn;</w:t>
      </w:r>
    </w:p>
    <w:p w:rsidR="006D1932" w:rsidRPr="00AD449A" w:rsidP="006D1932" w14:paraId="7376BE4E" w14:textId="77777777">
      <w:pPr>
        <w:pStyle w:val="NormalHanging12a"/>
      </w:pPr>
      <w:r w:rsidRPr="00AD449A">
        <w:rPr>
          <w:snapToGrid w:val="0"/>
        </w:rPr>
        <w:t>F.</w:t>
      </w:r>
      <w:r w:rsidRPr="00AD449A">
        <w:rPr>
          <w:snapToGrid w:val="0"/>
        </w:rPr>
        <w:tab/>
      </w:r>
      <w:r w:rsidRPr="00AD449A">
        <w:t>der henviser til, at Europols kortlægning i 2024 har fundet frem til 821 kriminelle højrisikonetværk, der er aktive i EU, og som genererer anslåede årlige indtægter på 92-188 mia. EUR, hvilket svarer til ca. 0,7-1,4 % af EU's BNP</w:t>
      </w:r>
      <w:r>
        <w:rPr>
          <w:rStyle w:val="FootnoteReference"/>
          <w:color w:val="000000"/>
        </w:rPr>
        <w:footnoteReference w:id="6"/>
      </w:r>
      <w:r w:rsidRPr="00AD449A">
        <w:t>; der henviser til, at mindreårige er involveret i mere end 70 % af de ulovlige markedsaktiviteter, herunder narkotikahandel, afpresning, onlinesvindel, hvidvaskning af penge, ulovlig handel med skydevåben og vold som en tjenesteydelse, og at kriminelle netværk udnytter børn helt ned til 12-årsalderen til opgaver såsom gadehandel, pengekurervirksomhed og udvinding af narkotika fra skibscontainere;</w:t>
      </w:r>
    </w:p>
    <w:p w:rsidR="006D1932" w:rsidRPr="00AD449A" w:rsidP="006D1932" w14:paraId="2D6FB32B" w14:textId="77777777">
      <w:pPr>
        <w:pStyle w:val="NormalHanging12a"/>
        <w:rPr>
          <w:bCs/>
        </w:rPr>
      </w:pPr>
      <w:r w:rsidRPr="00AD449A">
        <w:rPr>
          <w:snapToGrid w:val="0"/>
        </w:rPr>
        <w:t>G.</w:t>
      </w:r>
      <w:r w:rsidRPr="00AD449A">
        <w:rPr>
          <w:snapToGrid w:val="0"/>
        </w:rPr>
        <w:tab/>
      </w:r>
      <w:r w:rsidRPr="00AD449A">
        <w:t>der henviser til, at kriminelle organisationer systematisk går efter børn i meget sårbare situationer, navnlig børn, der er ramt af socioøkonomisk udstødelse, er gået ud af skole, børn hvis familie er opløst, og børn i migration, og at disse kriminelle organisationer udnytter børnenes økonomisk usikre situation, sociale marginalisering og manglende bevidsthed om risici;</w:t>
      </w:r>
    </w:p>
    <w:p w:rsidR="006D1932" w:rsidRPr="00AD449A" w:rsidP="006D1932" w14:paraId="313943C7" w14:textId="77777777">
      <w:pPr>
        <w:pStyle w:val="NormalHanging12a"/>
        <w:rPr>
          <w:bCs/>
        </w:rPr>
      </w:pPr>
      <w:r w:rsidRPr="00AD449A">
        <w:rPr>
          <w:snapToGrid w:val="0"/>
        </w:rPr>
        <w:t>H.</w:t>
      </w:r>
      <w:r w:rsidRPr="00AD449A">
        <w:rPr>
          <w:snapToGrid w:val="0"/>
        </w:rPr>
        <w:tab/>
      </w:r>
      <w:r w:rsidRPr="00AD449A">
        <w:t>der henviser til, at piger og unge kvinder i stigende grad er involveret i organiseret kriminalitet, selv om dette forhold ofte overses i de strafferetlige systemer, og at 22 % af de konstaterede ofre for menneskehandel i Vest- og Sydeuropa tvinges ind i kriminelle aktiviteter, primært narkotikahandel;</w:t>
      </w:r>
    </w:p>
    <w:p w:rsidR="006D1932" w:rsidRPr="00AD449A" w:rsidP="006D1932" w14:paraId="7CE9E3E2" w14:textId="77777777">
      <w:pPr>
        <w:pStyle w:val="NormalHanging12a"/>
      </w:pPr>
      <w:r w:rsidRPr="00AD449A">
        <w:rPr>
          <w:snapToGrid w:val="0"/>
        </w:rPr>
        <w:t>I.</w:t>
      </w:r>
      <w:r w:rsidRPr="00AD449A">
        <w:rPr>
          <w:snapToGrid w:val="0"/>
        </w:rPr>
        <w:tab/>
      </w:r>
      <w:r w:rsidRPr="00AD449A">
        <w:t>der henviser til, at ulovlig handel med skydevåben og ulovlig brug af pyroteknik har bidraget til et skift fra mindre lovovertrædelser til mere alvorlige og voldelige forbrydelser, der involverer mindreårige, herunder afpresning og drab; der henviser til, at kriminelle rekrutteringsvirksomheder kan tilbyde mindreårige betydelige økonomiske incitamenter, der spænder fra nogle få tusinde euro til helt op til 20 000 EUR for drab;</w:t>
      </w:r>
    </w:p>
    <w:p w:rsidR="006D1932" w:rsidRPr="00AD449A" w:rsidP="006D1932" w14:paraId="33D856F4" w14:textId="77777777">
      <w:pPr>
        <w:pStyle w:val="NormalHanging12a"/>
      </w:pPr>
      <w:r w:rsidRPr="00AD449A">
        <w:rPr>
          <w:snapToGrid w:val="0"/>
        </w:rPr>
        <w:t>J.</w:t>
      </w:r>
      <w:r w:rsidRPr="00AD449A">
        <w:rPr>
          <w:snapToGrid w:val="0"/>
        </w:rPr>
        <w:tab/>
      </w:r>
      <w:r w:rsidRPr="00AD449A">
        <w:t xml:space="preserve">der henviser til, at narkotikarelateret intimidering og tvang er en vigtig fremgangsmåde, og at organiserede kriminelle netværk på denne måde rekrutterer og udnytter børn, idet de bruger gæld, </w:t>
      </w:r>
      <w:r w:rsidRPr="00AD449A">
        <w:t>grooming</w:t>
      </w:r>
      <w:r w:rsidRPr="00AD449A">
        <w:t xml:space="preserve"> og vold; der henviser til, at sådanne netværks grænseoverskridende rækkevidde betyder, at disse fænomener ikke i tilstrækkelig grad kan håndteres ved hjælp af nationale foranstaltninger alene;</w:t>
      </w:r>
    </w:p>
    <w:p w:rsidR="006D1932" w:rsidRPr="00AD449A" w:rsidP="006D1932" w14:paraId="0D8CA03E" w14:textId="77777777">
      <w:pPr>
        <w:pStyle w:val="NormalHanging12a"/>
      </w:pPr>
      <w:r w:rsidRPr="00AD449A">
        <w:rPr>
          <w:snapToGrid w:val="0"/>
        </w:rPr>
        <w:t>K.</w:t>
      </w:r>
      <w:r w:rsidRPr="00AD449A">
        <w:rPr>
          <w:snapToGrid w:val="0"/>
        </w:rPr>
        <w:tab/>
      </w:r>
      <w:r w:rsidRPr="00AD449A">
        <w:t xml:space="preserve">der henviser til, at voksende narkotikamarkeder har drevet inddragelsen af mindreårige op på et alarmerende niveau, hvilket kan ses af den kraftige stigning i brugen af vigtige logistiske knudepunkter, herunder havne; der henviser til, at manglen på harmoniserede virkninger af den nuværende definition af organiseret kriminalitet på tværs af EU's medlemsstater komplicerer indsamlingen og sammenligneligheden af data, og der </w:t>
      </w:r>
      <w:r w:rsidRPr="00AD449A">
        <w:t>henviser til, at data om mindreårige i organiseret kriminalitet er knappe, ofte upålidelige og knap nok sammenlignelige på grund af den forskellige alder for strafferetligt ansvar samt underrapportering;</w:t>
      </w:r>
    </w:p>
    <w:p w:rsidR="006D1932" w:rsidRPr="00AD449A" w:rsidP="006D1932" w14:paraId="66EC1694" w14:textId="77777777">
      <w:pPr>
        <w:pStyle w:val="NormalHanging12a"/>
      </w:pPr>
      <w:r w:rsidRPr="00AD449A">
        <w:rPr>
          <w:snapToGrid w:val="0"/>
        </w:rPr>
        <w:t>L.</w:t>
      </w:r>
      <w:r w:rsidRPr="00AD449A">
        <w:rPr>
          <w:snapToGrid w:val="0"/>
        </w:rPr>
        <w:tab/>
      </w:r>
      <w:r w:rsidRPr="00AD449A">
        <w:t>der henviser til, at underinvestering i offentlige tjenester, herunder forebyggelse, uddannelse og sundhedstjenester, er de grundlæggende årsager til, at organiserede kriminelle grupper rekrutterer børn;</w:t>
      </w:r>
    </w:p>
    <w:p w:rsidR="006D1932" w:rsidRPr="00AD449A" w:rsidP="006D1932" w14:paraId="0A2B247B" w14:textId="77777777">
      <w:pPr>
        <w:pStyle w:val="NormalHanging12a"/>
      </w:pPr>
      <w:r w:rsidRPr="00AD449A">
        <w:rPr>
          <w:snapToGrid w:val="0"/>
        </w:rPr>
        <w:t>M.</w:t>
      </w:r>
      <w:r w:rsidRPr="00AD449A">
        <w:rPr>
          <w:snapToGrid w:val="0"/>
        </w:rPr>
        <w:tab/>
      </w:r>
      <w:r w:rsidRPr="00AD449A">
        <w:t xml:space="preserve">der henviser til, at fragmenterede institutionelle reaktioner og utilstrækkelig koordinering mellem børnebeskyttelsessystemer, </w:t>
      </w:r>
      <w:r w:rsidRPr="00AD449A">
        <w:t>retsmyndigheder</w:t>
      </w:r>
      <w:r w:rsidRPr="00AD449A">
        <w:t xml:space="preserve">, sikkerhedsagenturer og digitale tilsynsmyndigheder skaber huller, som kriminelle grupper udnytter; der henviser til, at Parlamentet i sin beslutning om mordet på Mehdi </w:t>
      </w:r>
      <w:r w:rsidRPr="00AD449A">
        <w:t>Kessaci</w:t>
      </w:r>
      <w:r w:rsidRPr="00AD449A">
        <w:t xml:space="preserve"> i Marseille fordømte kriminelle banders systematiske rekruttering af unge og opfordrede til øget forebyggelse, beskyttelse og retsforfølgning, herunder specialiseret støtte til mindreårige for at de kan komme fri fra udnyttelse og reintegreres i samfundet;</w:t>
      </w:r>
    </w:p>
    <w:p w:rsidR="006D1932" w:rsidRPr="00AD449A" w:rsidP="006D1932" w14:paraId="342327B3" w14:textId="77777777">
      <w:pPr>
        <w:pStyle w:val="NormalHanging12a"/>
      </w:pPr>
      <w:r w:rsidRPr="00AD449A">
        <w:rPr>
          <w:snapToGrid w:val="0"/>
        </w:rPr>
        <w:t>N.</w:t>
      </w:r>
      <w:r w:rsidRPr="00AD449A">
        <w:rPr>
          <w:snapToGrid w:val="0"/>
        </w:rPr>
        <w:tab/>
      </w:r>
      <w:r w:rsidRPr="00AD449A">
        <w:t>der henviser til, at Europol oprettede en operationel taskforce kaldet "GRIMM" i april 2025 for at foretage en koordineret indsats med teknologivirksomheder med det mål at afdække forsøg på at rekruttere børn via sociale medier og meddelelsesplatforme, og bemærker at taskforcen ledes af Sverige og involverer politi fra Belgien, Danmark, Finland, Frankrig, Tyskland, Nederlandene og Norge;</w:t>
      </w:r>
    </w:p>
    <w:p w:rsidR="006D1932" w:rsidRPr="00AD449A" w:rsidP="006D1932" w14:paraId="43B6CD87" w14:textId="77777777">
      <w:pPr>
        <w:pStyle w:val="NormalHanging12a"/>
      </w:pPr>
      <w:r w:rsidRPr="00AD449A">
        <w:rPr>
          <w:snapToGrid w:val="0"/>
        </w:rPr>
        <w:t>O.</w:t>
      </w:r>
      <w:r w:rsidRPr="00AD449A">
        <w:rPr>
          <w:snapToGrid w:val="0"/>
        </w:rPr>
        <w:tab/>
      </w:r>
      <w:r w:rsidRPr="00AD449A">
        <w:t>der henviser til, at evidensbaserede tilgange såsom dem, der er udviklet under STRIVE-projektet for unge mellem EU og UNODC, viser effektiviteten af forebyggende, tværsektorielle, traumeinformerede, kønsorienterede og børnecentrerede reaktioner;</w:t>
      </w:r>
    </w:p>
    <w:p w:rsidR="006D1932" w:rsidRPr="00AD449A" w:rsidP="006D1932" w14:paraId="56F7832B" w14:textId="77777777">
      <w:pPr>
        <w:pStyle w:val="NormalHanging12a"/>
      </w:pPr>
      <w:r w:rsidRPr="00AD449A">
        <w:t>1.</w:t>
      </w:r>
      <w:r w:rsidRPr="00AD449A">
        <w:tab/>
        <w:t>fordømmer på det kraftigste organiserede kriminelle gruppers og terrorgruppers rekruttering og udnyttelse af børn i alle former, både online og offline;</w:t>
      </w:r>
    </w:p>
    <w:p w:rsidR="006D1932" w:rsidRPr="00AD449A" w:rsidP="006D1932" w14:paraId="706FDB44" w14:textId="77777777">
      <w:pPr>
        <w:pStyle w:val="NormalHanging12a"/>
        <w:rPr>
          <w:spacing w:val="-2"/>
        </w:rPr>
      </w:pPr>
      <w:r w:rsidRPr="00AD449A">
        <w:t>2.</w:t>
      </w:r>
      <w:r w:rsidRPr="00AD449A">
        <w:tab/>
        <w:t>anerkender, at rekruttering af børn udgør en alvorlig forbrydelse mod børn og en alvorlig krænkelse af menneskerettighederne; understreger, at det er en voksende intern og ekstern sikkerhedstrussel for Den Europæiske Union, der kræver en omfattende reaktion, hvor der er fokus på beskyttelse, tidlig forebyggelse, adgang til rettigheder og uddannelsesmæssig kontinuitet, integration af intern sikkerhed, retssystemet, sociale systemer og uddannelsessystemer samt strategier og foranstaltninger, der har til formål at styrke de beskyttende omgivende rammer for børn, både offline og online;</w:t>
      </w:r>
    </w:p>
    <w:p w:rsidR="006D1932" w:rsidRPr="00AD449A" w:rsidP="006D1932" w14:paraId="0E3BA6F5" w14:textId="77777777">
      <w:pPr>
        <w:pStyle w:val="NormalHanging12a"/>
        <w:rPr>
          <w:spacing w:val="-2"/>
        </w:rPr>
      </w:pPr>
      <w:r w:rsidRPr="00AD449A">
        <w:t>3.</w:t>
      </w:r>
      <w:r w:rsidRPr="00AD449A">
        <w:tab/>
        <w:t>minder om, at et barn først og fremmest er et barn og bør behandles i overensstemmelse hermed, og opfordrer medlemsstaterne til at sikre, at barnets tarv altid kommer i første række;</w:t>
      </w:r>
    </w:p>
    <w:p w:rsidR="006D1932" w:rsidRPr="00AD449A" w:rsidP="006D1932" w14:paraId="2180C42C" w14:textId="77777777">
      <w:pPr>
        <w:pStyle w:val="NormalHanging12a"/>
      </w:pPr>
      <w:r w:rsidRPr="00AD449A">
        <w:t>4.</w:t>
      </w:r>
      <w:r w:rsidRPr="00AD449A">
        <w:tab/>
        <w:t xml:space="preserve">opfordrer Kommissionen og medlemsstaterne til udtrykkeligt at anerkende forebyggelse af og reaktioner på organiserede kriminelle gruppers og terrorgruppers rekruttering af børn som et prioriteret område i den kommende EU-handlingsplan om beskyttelse af børn mod kriminalitet; opfordrer til, at denne handlingsplan omfatter en særlig forebyggelsessøjle med tidlige varslingsmekanismer, der involverer skoler, sociale tjenester og familier, og en </w:t>
      </w:r>
      <w:r w:rsidRPr="00AD449A">
        <w:t>ungdomscentreret</w:t>
      </w:r>
      <w:r w:rsidRPr="00AD449A">
        <w:t xml:space="preserve"> tilgang med fokus på at udvikle livsfærdigheder gennem direkte engagement i lokalsamfundet;</w:t>
      </w:r>
    </w:p>
    <w:p w:rsidR="006D1932" w:rsidRPr="00AD449A" w:rsidP="006D1932" w14:paraId="63F2842E" w14:textId="77777777">
      <w:pPr>
        <w:pStyle w:val="NormalHanging12a"/>
        <w:rPr>
          <w:spacing w:val="-2"/>
        </w:rPr>
      </w:pPr>
      <w:r w:rsidRPr="00AD449A">
        <w:t>5.</w:t>
      </w:r>
      <w:r w:rsidRPr="00AD449A">
        <w:tab/>
        <w:t xml:space="preserve">opfordrer Kommissionen til også at tage fat på organiserede kriminelle gruppers rekruttering af børn i det kommende lovgivningsforslag om moderniserede regler om </w:t>
      </w:r>
      <w:r w:rsidRPr="00AD449A">
        <w:t>organiseret kriminalitet; opfordrer Kommissionen til at overveje at medtage specifikke bestemmelser i dette forslag, såsom skærpende omstændigheder på grund af rekruttering af børn; gentager i denne forbindelse sin opfordring til, at der indføres en ny fælles definition af "kriminel organisation", som også tager kriminelle gruppers brug af vold, korruption eller intimidering i betragtning;</w:t>
      </w:r>
    </w:p>
    <w:p w:rsidR="006D1932" w:rsidRPr="00AD449A" w:rsidP="006D1932" w14:paraId="69C5BB64" w14:textId="77777777">
      <w:pPr>
        <w:pStyle w:val="NormalHanging12a"/>
        <w:rPr>
          <w:spacing w:val="-2"/>
        </w:rPr>
      </w:pPr>
      <w:r w:rsidRPr="00AD449A">
        <w:t>6.</w:t>
      </w:r>
      <w:r w:rsidRPr="00AD449A">
        <w:tab/>
        <w:t>opfordrer Kommissionen til snarest muligt at offentliggøre et lovgivningsforslag om revision af EU's pyrotekniske direktiv</w:t>
      </w:r>
      <w:r>
        <w:rPr>
          <w:rStyle w:val="FootnoteReference"/>
        </w:rPr>
        <w:footnoteReference w:id="7"/>
      </w:r>
      <w:r w:rsidRPr="00AD449A">
        <w:t xml:space="preserve"> for at imødegå anvendelsen af pyroteknik som våben, herunder udnyttelse af sårbare unge; opfordrer medlemsstaterne til at intensivere samarbejdet med Europol og </w:t>
      </w:r>
      <w:r w:rsidRPr="00AD449A">
        <w:t>Eurojust</w:t>
      </w:r>
      <w:r w:rsidRPr="00AD449A">
        <w:t>, navnlig i havne, logistikknudepunkter og byområder med sårbare samfund, ved at udveksle bedste praksis og tilbyde uddannelse i at konstatere og indberette mistænkelige aktiviteter, der involverer børn;</w:t>
      </w:r>
    </w:p>
    <w:p w:rsidR="006D1932" w:rsidRPr="00AD449A" w:rsidP="006D1932" w14:paraId="61B2CDA2" w14:textId="77777777">
      <w:pPr>
        <w:pStyle w:val="NormalHanging12a"/>
        <w:rPr>
          <w:spacing w:val="-2"/>
        </w:rPr>
      </w:pPr>
      <w:r w:rsidRPr="00AD449A">
        <w:t>7.</w:t>
      </w:r>
      <w:r w:rsidRPr="00AD449A">
        <w:tab/>
        <w:t>opfordrer Kommissionen og medlemsstaterne til at anerkende narkotikarelateret intimidering som en etableret rekrutteringsvej til organiseret kriminalitet; opfordrer medlemsstaterne til at sikre, at nationale strategier for rekruttering af børn udtrykkeligt omfatter tværorganisatoriske reaktioner på narkotikarelateret intimidering, idet der trækkes på nye modeller for bedste praksis;</w:t>
      </w:r>
    </w:p>
    <w:p w:rsidR="006D1932" w:rsidRPr="00AD449A" w:rsidP="006D1932" w14:paraId="2387A5AE" w14:textId="77777777">
      <w:pPr>
        <w:pStyle w:val="NormalHanging12a"/>
        <w:rPr>
          <w:bCs/>
          <w:spacing w:val="-2"/>
        </w:rPr>
      </w:pPr>
      <w:r w:rsidRPr="00AD449A">
        <w:t>8.</w:t>
      </w:r>
      <w:r w:rsidRPr="00AD449A">
        <w:tab/>
        <w:t>opfordrer indtrængende til, at der vedtages en tilgang, hvor der er fokus på forebyggelse, og med integrerede beskyttelsessystemer, der er børnecentrerede, kønsorienterede, traumeinformerede og tværsektorielle, og som fokuserer på tidlig opdagelse af udsatte børn, lokalsamfundsbaserede indgreb og styrkelse af familier og sociale tjenester; fremhæver den positive rolle, som sport, uddannelsessammenslutninger og lokalsamfundsorganisationer spiller med hensyn til at tilbyde sikre, sunde og inklusive miljøer;</w:t>
      </w:r>
    </w:p>
    <w:p w:rsidR="006D1932" w:rsidRPr="00AD449A" w:rsidP="006D1932" w14:paraId="25EBD848" w14:textId="77777777">
      <w:pPr>
        <w:pStyle w:val="NormalHanging12a"/>
      </w:pPr>
      <w:r w:rsidRPr="00AD449A">
        <w:t>9.</w:t>
      </w:r>
      <w:r w:rsidRPr="00AD449A">
        <w:tab/>
        <w:t>mener, at den organiserede kriminalitets grænseoverskridende karakter gør de rent nationale foranstaltninger til beskyttelse af ofre utilstrækkelige for børn og unge; opfordrer til øget samarbejde mellem sikkerheds-, rets-, børnebeskyttelses-, uddannelses- og sundhedssektoren samt offentlig-private partnerskaber for at sikre integrerede og tværsektorielle rammer for beskyttelse af børn, både offline og online;</w:t>
      </w:r>
    </w:p>
    <w:p w:rsidR="006D1932" w:rsidRPr="00AD449A" w:rsidP="006D1932" w14:paraId="63D5145A" w14:textId="77777777">
      <w:pPr>
        <w:pStyle w:val="NormalHanging12a"/>
        <w:rPr>
          <w:spacing w:val="-2"/>
        </w:rPr>
      </w:pPr>
      <w:r w:rsidRPr="00AD449A">
        <w:t>10.</w:t>
      </w:r>
      <w:r w:rsidRPr="00AD449A">
        <w:tab/>
        <w:t xml:space="preserve">understreger, at onlinedimensionen af rekruttering af børn nu er central for de operationelle modeller for organiserede kriminelle grupper og terrorgrupper, som systematisk udnytter digitale tjenester til at finde frem til, målrette, </w:t>
      </w:r>
      <w:r w:rsidRPr="00AD449A">
        <w:t>groome</w:t>
      </w:r>
      <w:r w:rsidRPr="00AD449A">
        <w:t>, manipulere og tvinge børn; understreger, at organiserede kriminelle netværks onlinerekruttering af børn skaber en betydelig håndhævelsesmangel på grund af begrænset samarbejde fra platformenes side; opfordrer Kommissionen og medlemsstaterne til at sikre, at de nuværende forpligtelser for platforme håndhæves;</w:t>
      </w:r>
    </w:p>
    <w:p w:rsidR="006D1932" w:rsidRPr="00AD449A" w:rsidP="006D1932" w14:paraId="007AA481" w14:textId="77777777">
      <w:pPr>
        <w:pStyle w:val="NormalHanging12a"/>
      </w:pPr>
      <w:r w:rsidRPr="00AD449A">
        <w:rPr>
          <w:snapToGrid w:val="0"/>
        </w:rPr>
        <w:t>11.</w:t>
      </w:r>
      <w:r w:rsidRPr="00AD449A">
        <w:rPr>
          <w:snapToGrid w:val="0"/>
        </w:rPr>
        <w:tab/>
      </w:r>
      <w:r w:rsidRPr="00AD449A">
        <w:t>opfordrer Kommissionen og medlemsstaterne til at sikre en solid og konsekvent håndhævelse af forordningen om digitale tjenester, der er i overensstemmelse med børns rettigheder, i overensstemmelse med Kommissionens retningslinjer for beskyttelse af mindreårige;</w:t>
      </w:r>
    </w:p>
    <w:p w:rsidR="006D1932" w:rsidRPr="00AD449A" w:rsidP="006D1932" w14:paraId="7C059A3D" w14:textId="77777777">
      <w:pPr>
        <w:pStyle w:val="NormalHanging12a"/>
      </w:pPr>
      <w:bookmarkStart w:id="8" w:name="_Hlk231893097"/>
      <w:r w:rsidRPr="00AD449A">
        <w:rPr>
          <w:snapToGrid w:val="0"/>
        </w:rPr>
        <w:t>12.</w:t>
      </w:r>
      <w:r w:rsidRPr="00AD449A">
        <w:rPr>
          <w:snapToGrid w:val="0"/>
        </w:rPr>
        <w:tab/>
      </w:r>
      <w:r w:rsidRPr="00AD449A">
        <w:t xml:space="preserve">opfordrer Kommissionen til at sikre fuld håndhævelse af EU's digitale lovgivning og til </w:t>
      </w:r>
      <w:r w:rsidRPr="00AD449A">
        <w:t>om nødvendigt at styrke platformenes forpligtelser til at træffe foranstaltninger mod udnyttelse og rekruttering af børn samt til at styrke beskyttelsen af mindreårige online gennem den kommende retsakt om digital retfærdighed, lukke lovgivningsmæssige huller på områder såsom indbygget sikkerhed, alderssvarende standardindstillinger og handelspraksis, der er rettet mod børn, samtidig med at det sikres, at nye foranstaltninger fortsat er forholdsmæssige, evidensbaserede og i overensstemmelse med den bredere digitale lovgivningsmæssige ramme;</w:t>
      </w:r>
      <w:bookmarkEnd w:id="8"/>
    </w:p>
    <w:p w:rsidR="006D1932" w:rsidRPr="00AD449A" w:rsidP="006D1932" w14:paraId="7DFB0AE5" w14:textId="77777777">
      <w:pPr>
        <w:pStyle w:val="NormalHanging12a"/>
      </w:pPr>
      <w:r w:rsidRPr="00AD449A">
        <w:rPr>
          <w:snapToGrid w:val="0"/>
        </w:rPr>
        <w:t>13.</w:t>
      </w:r>
      <w:r w:rsidRPr="00AD449A">
        <w:rPr>
          <w:snapToGrid w:val="0"/>
        </w:rPr>
        <w:tab/>
      </w:r>
      <w:r w:rsidRPr="00AD449A">
        <w:t xml:space="preserve">understreger den voksende trussel fra kriminalitet som en tjenesteydelse, herunder vold som en tjenesteydelse, hvorigennem unge rekrutteres online til at udføre voldelige opgaver; glæder sig over Europols operationelle taskforce GRIMM og opfordrer medlemsstaterne, Europol og </w:t>
      </w:r>
      <w:r w:rsidRPr="00AD449A">
        <w:t>Eurojust</w:t>
      </w:r>
      <w:r w:rsidRPr="00AD449A">
        <w:t xml:space="preserve"> til at styrke de fælles efterforskninger rettet mod </w:t>
      </w:r>
      <w:r w:rsidRPr="00AD449A">
        <w:t>rekruttører</w:t>
      </w:r>
      <w:r w:rsidRPr="00AD449A">
        <w:t>, anstiftere og aktører på højt plan i stedet for at begrænse håndhævelsesindsatsen til de mindreårige, der udfører lovovertrædelserne;</w:t>
      </w:r>
    </w:p>
    <w:p w:rsidR="006D1932" w:rsidP="006D1932" w14:paraId="22DDFEC9" w14:textId="2F0D6EA9">
      <w:pPr>
        <w:pStyle w:val="NormalHanging12a"/>
      </w:pPr>
      <w:r w:rsidRPr="00AD449A">
        <w:rPr>
          <w:snapToGrid w:val="0"/>
        </w:rPr>
        <w:t>14.</w:t>
      </w:r>
      <w:r w:rsidRPr="00AD449A">
        <w:rPr>
          <w:snapToGrid w:val="0"/>
        </w:rPr>
        <w:tab/>
      </w:r>
      <w:r w:rsidRPr="00AD449A">
        <w:t>understreger, at børn, der er involveret i kriminelle aktiviteter som følge af rekruttering, skal behandles</w:t>
      </w:r>
      <w:r w:rsidR="00FC4C78">
        <w:t xml:space="preserve"> </w:t>
      </w:r>
      <w:r w:rsidRPr="00AD449A" w:rsidR="00FC4C78">
        <w:t>i overensstemmelse med internationale standarder</w:t>
      </w:r>
      <w:r w:rsidRPr="00AD449A">
        <w:t>; minder om, at samarbejdet med voldelige grupper ofte skyldes gradvis tvang og gruppedynamik snarere end ideologisk tilslutning;</w:t>
      </w:r>
    </w:p>
    <w:p w:rsidR="00A01D30" w:rsidRPr="00AD449A" w:rsidP="006D1932" w14:paraId="7DB74997" w14:textId="119BD95F">
      <w:pPr>
        <w:pStyle w:val="NormalHanging12a"/>
      </w:pPr>
      <w:r>
        <w:t>15.</w:t>
      </w:r>
      <w:r>
        <w:tab/>
      </w:r>
      <w:r w:rsidRPr="00A01D30">
        <w:t>understreger, at der altid skal tages behørigt hensyn til de individuelle omstændigheder i hver enkelt sag, herunder tvang eller udnyttelse, samt til alvoren af den begåede strafbare handling, den grad af risiko, som gerningsmanden udgør for den offentlige sikkerhed, og til den gældende EU-ret og national ret;</w:t>
      </w:r>
    </w:p>
    <w:p w:rsidR="006D1932" w:rsidRPr="00AD449A" w:rsidP="006D1932" w14:paraId="398427C8" w14:textId="315B185F">
      <w:pPr>
        <w:pStyle w:val="NormalHanging12a"/>
      </w:pPr>
      <w:r>
        <w:rPr>
          <w:snapToGrid w:val="0"/>
        </w:rPr>
        <w:t>16</w:t>
      </w:r>
      <w:r w:rsidRPr="00AD449A">
        <w:rPr>
          <w:snapToGrid w:val="0"/>
        </w:rPr>
        <w:t>.</w:t>
      </w:r>
      <w:r w:rsidRPr="00AD449A">
        <w:rPr>
          <w:snapToGrid w:val="0"/>
        </w:rPr>
        <w:tab/>
      </w:r>
      <w:r w:rsidRPr="00AD449A">
        <w:t>opfordrer til børnevenlige, kønsorienterede og traumeinformerede retssystemer og skræddersyede tværsektorielle, traumeinformerede reintegrationsprogrammer, herunder adgang til uddannelse, mental sundhed og psykosocial støtte og genopretnings- og rehabiliteringstjenester, beskyttelse mod repressalier, herunder for familier, veje til anstændig beskæftigelse og foranstaltninger til forebyggelse af stigmatisering og gentagen rekruttering; minder om, at frihedsberøvelse af et barn, navnlig frihedsberøvelse, i henhold til direktiv (EU) 2016/800 kun bør pålægges som en sidste udvej, og at medlemsstaternes kompetente myndigheder, hvor det er muligt, bør have adgang til alternative foranstaltninger; bemærker, at genoprettende retfærdighed i visse medlemsstater har vist sig at være effektiv;</w:t>
      </w:r>
    </w:p>
    <w:p w:rsidR="006D1932" w:rsidRPr="00AD449A" w:rsidP="006D1932" w14:paraId="1DF6F76E" w14:textId="0EC2B939">
      <w:pPr>
        <w:pStyle w:val="NormalHanging12a"/>
      </w:pPr>
      <w:r>
        <w:rPr>
          <w:snapToGrid w:val="0"/>
        </w:rPr>
        <w:t>17</w:t>
      </w:r>
      <w:r w:rsidRPr="00AD449A">
        <w:rPr>
          <w:snapToGrid w:val="0"/>
        </w:rPr>
        <w:t>.</w:t>
      </w:r>
      <w:r w:rsidRPr="00AD449A">
        <w:rPr>
          <w:snapToGrid w:val="0"/>
        </w:rPr>
        <w:tab/>
      </w:r>
      <w:r w:rsidRPr="00AD449A">
        <w:t xml:space="preserve">opfordrer indtrængende medlemsstaterne til at forbedre </w:t>
      </w:r>
      <w:r w:rsidRPr="00AD449A">
        <w:t>interoperabel</w:t>
      </w:r>
      <w:r w:rsidRPr="00AD449A">
        <w:t>, tværsektoriel dataindsamling og -deling om rekruttering af børn til organiserede kriminelle grupper og terrorgrupper, herunder opdelte og harmoniserede data for hele EU, for bedre at forstå tendenser og risikofaktorer; understreger, at enhver indsamling, behandling eller deling af data vedrørende børn fuldt ud skal overholde databeskyttelsesreglerne og princippet om ikkeforskelsbehandling;</w:t>
      </w:r>
    </w:p>
    <w:p w:rsidR="006D1932" w:rsidRPr="00AD449A" w:rsidP="006D1932" w14:paraId="267EED49" w14:textId="5F4888D6">
      <w:pPr>
        <w:pStyle w:val="NormalHanging12a"/>
      </w:pPr>
      <w:r>
        <w:rPr>
          <w:snapToGrid w:val="0"/>
        </w:rPr>
        <w:t>18</w:t>
      </w:r>
      <w:r w:rsidRPr="00AD449A">
        <w:rPr>
          <w:snapToGrid w:val="0"/>
        </w:rPr>
        <w:t>.</w:t>
      </w:r>
      <w:r w:rsidRPr="00AD449A">
        <w:rPr>
          <w:snapToGrid w:val="0"/>
        </w:rPr>
        <w:tab/>
      </w:r>
      <w:r w:rsidRPr="00AD449A">
        <w:t xml:space="preserve">støtter </w:t>
      </w:r>
      <w:r w:rsidRPr="00AD449A">
        <w:t>opskaleringen</w:t>
      </w:r>
      <w:r w:rsidRPr="00AD449A">
        <w:t xml:space="preserve"> af vellykkede evidensbaserede initiativer såsom projektet EU-UNODC STRIVE Juvenile og dets strategiske efterfølger, initiativet EU-UNODC </w:t>
      </w:r>
      <w:r w:rsidRPr="00AD449A">
        <w:t>Protecting</w:t>
      </w:r>
      <w:r w:rsidRPr="00AD449A">
        <w:t xml:space="preserve"> Futures, herunder i skrøbelige og konfliktramte sammenhænge;</w:t>
      </w:r>
    </w:p>
    <w:p w:rsidR="006D1932" w:rsidRPr="00AD449A" w:rsidP="006D1932" w14:paraId="6E61D771" w14:textId="7CB65E5E">
      <w:pPr>
        <w:pStyle w:val="NormalHanging12a"/>
      </w:pPr>
      <w:r>
        <w:rPr>
          <w:snapToGrid w:val="0"/>
        </w:rPr>
        <w:t>19</w:t>
      </w:r>
      <w:r w:rsidRPr="00AD449A">
        <w:rPr>
          <w:snapToGrid w:val="0"/>
        </w:rPr>
        <w:t>.</w:t>
      </w:r>
      <w:r w:rsidRPr="00AD449A">
        <w:rPr>
          <w:snapToGrid w:val="0"/>
        </w:rPr>
        <w:tab/>
      </w:r>
      <w:r w:rsidRPr="00AD449A">
        <w:t xml:space="preserve">opfordrer til et stærkere internationalt samarbejde med partnerlande for at tackle grænseoverskridende rekrutteringsnetværk og forhindre </w:t>
      </w:r>
      <w:r w:rsidRPr="00AD449A">
        <w:t>eksternaliseringen</w:t>
      </w:r>
      <w:r w:rsidRPr="00AD449A">
        <w:t xml:space="preserve"> af kriminel udnyttelse;</w:t>
      </w:r>
    </w:p>
    <w:p w:rsidR="006D1932" w:rsidRPr="00AD449A" w:rsidP="006D1932" w14:paraId="3A9306A8" w14:textId="7B4F3A2D">
      <w:pPr>
        <w:pStyle w:val="NormalHanging12a"/>
      </w:pPr>
      <w:r>
        <w:rPr>
          <w:snapToGrid w:val="0"/>
        </w:rPr>
        <w:t>20</w:t>
      </w:r>
      <w:r w:rsidRPr="00AD449A">
        <w:rPr>
          <w:snapToGrid w:val="0"/>
        </w:rPr>
        <w:t>.</w:t>
      </w:r>
      <w:r w:rsidRPr="00AD449A">
        <w:rPr>
          <w:snapToGrid w:val="0"/>
        </w:rPr>
        <w:tab/>
      </w:r>
      <w:r w:rsidRPr="00AD449A">
        <w:t>understreger, at der som led i et sådant samarbejde skal lægges særlig vægt på børn i situationer med øget sårbarhed, herunder uledsagede børn og migrantbørn, og at der skal sikres adgang til sikre indberetningskanaler, værgemål, juridisk bistand og rettighedsbaserede grænseoverskridende mekanismer til beskyttelse af børn;</w:t>
      </w:r>
    </w:p>
    <w:p w:rsidR="006D1932" w:rsidRPr="00AD449A" w:rsidP="006D1932" w14:paraId="35733792" w14:textId="2977BE45">
      <w:pPr>
        <w:pStyle w:val="NormalHanging12a"/>
      </w:pPr>
      <w:r>
        <w:rPr>
          <w:snapToGrid w:val="0"/>
        </w:rPr>
        <w:t>21</w:t>
      </w:r>
      <w:r w:rsidRPr="00AD449A">
        <w:rPr>
          <w:snapToGrid w:val="0"/>
        </w:rPr>
        <w:t>.</w:t>
      </w:r>
      <w:r w:rsidRPr="00AD449A">
        <w:rPr>
          <w:snapToGrid w:val="0"/>
        </w:rPr>
        <w:tab/>
      </w:r>
      <w:r w:rsidRPr="00AD449A">
        <w:t>understreger betydningen af at tackle de grundlæggende årsager, herunder fattigdom, ulighed, udstødelse, manglende uddannelse og eksponering for vold og underinvestering i offentlige tjenester; opfordrer Kommissionen og medlemsstaterne til at øge den finansielle støtte til civilsamfundsorganisationer, lokalsamfundsbaserede initiativer, idrætsforeninger og uddannelsesprogrammer på de områder, der er mest udsat for rekruttering til organiseret kriminalitet, og derved tilbyde troværdige alternativer til kriminelle løbebaner;</w:t>
      </w:r>
    </w:p>
    <w:p w:rsidR="006D1932" w:rsidRPr="00AD449A" w:rsidP="006D1932" w14:paraId="20279C08" w14:textId="71CB2286">
      <w:pPr>
        <w:pStyle w:val="NormalHanging12a"/>
      </w:pPr>
      <w:r>
        <w:rPr>
          <w:snapToGrid w:val="0"/>
        </w:rPr>
        <w:t>22</w:t>
      </w:r>
      <w:r w:rsidRPr="00AD449A">
        <w:rPr>
          <w:snapToGrid w:val="0"/>
        </w:rPr>
        <w:t>.</w:t>
      </w:r>
      <w:r w:rsidRPr="00AD449A">
        <w:rPr>
          <w:snapToGrid w:val="0"/>
        </w:rPr>
        <w:tab/>
      </w:r>
      <w:r w:rsidRPr="00AD449A">
        <w:t xml:space="preserve">er især bekymret over organiserede kriminelle netværks uforholdsmæssige målretning mod og udnyttelse af piger og unge kvinder, herunder gennem </w:t>
      </w:r>
      <w:r w:rsidRPr="00AD449A">
        <w:t>grooming</w:t>
      </w:r>
      <w:r w:rsidRPr="00AD449A">
        <w:t>, menneskehandel og seksuel udnyttelse; understreger, at piger står over for specifikke hindringer for at undslippe kriminel tvang og få adgang til domstolsprøvelse, genopretning og reintegration, og opfordrer medlemsstaterne til at sikre, at alle forebyggelses-, beskyttelses- og støtteforanstaltninger er kønsorienterede og specifikt tager fat på pigers sårbarheder og behov; minder i denne forbindelse om de forpligtelser, der er fastsat i direktivet om bekæmpelse af menneskehandel</w:t>
      </w:r>
      <w:r>
        <w:rPr>
          <w:rStyle w:val="FootnoteReference"/>
        </w:rPr>
        <w:footnoteReference w:id="8"/>
      </w:r>
      <w:r w:rsidRPr="00AD449A">
        <w:t>;</w:t>
      </w:r>
    </w:p>
    <w:p w:rsidR="006D1932" w:rsidRPr="00AD449A" w:rsidP="006D1932" w14:paraId="2A999707" w14:textId="1F80F4C4">
      <w:pPr>
        <w:pStyle w:val="NormalHanging12a"/>
      </w:pPr>
      <w:r>
        <w:rPr>
          <w:snapToGrid w:val="0"/>
        </w:rPr>
        <w:t>23</w:t>
      </w:r>
      <w:r w:rsidRPr="00AD449A">
        <w:rPr>
          <w:snapToGrid w:val="0"/>
        </w:rPr>
        <w:t>.</w:t>
      </w:r>
      <w:r w:rsidRPr="00AD449A">
        <w:rPr>
          <w:snapToGrid w:val="0"/>
        </w:rPr>
        <w:tab/>
      </w:r>
      <w:r w:rsidRPr="00AD449A">
        <w:t xml:space="preserve">opfordrer Kommissionen og medlemsstaterne til at afsætte tilstrækkelige midler under relevante EU-programmer til at forebygge og reagere effektivt på organiserede kriminelle gruppers og terrorgruppers rekruttering af børn og navnlig til at støtte </w:t>
      </w:r>
      <w:r w:rsidRPr="00AD449A">
        <w:t>hotlinenetværk</w:t>
      </w:r>
      <w:r w:rsidRPr="00AD449A">
        <w:t xml:space="preserve"> for forsvundne børn - telefonnummer 116 000 - som vigtige partnere med henblik på at finde frem til udsatte børn;</w:t>
      </w:r>
    </w:p>
    <w:p w:rsidR="00AD449A" w:rsidRPr="00AD449A" w:rsidP="00AD449A" w14:paraId="6143C341" w14:textId="313AD061">
      <w:pPr>
        <w:pStyle w:val="NormalHanging12a"/>
      </w:pPr>
      <w:r>
        <w:rPr>
          <w:snapToGrid w:val="0"/>
        </w:rPr>
        <w:t>24</w:t>
      </w:r>
      <w:r w:rsidRPr="00AD449A" w:rsidR="006D1932">
        <w:rPr>
          <w:snapToGrid w:val="0"/>
        </w:rPr>
        <w:t>.</w:t>
      </w:r>
      <w:r w:rsidRPr="00AD449A" w:rsidR="006D1932">
        <w:rPr>
          <w:snapToGrid w:val="0"/>
        </w:rPr>
        <w:tab/>
      </w:r>
      <w:r w:rsidRPr="00AD449A" w:rsidR="006D1932">
        <w:t>pålægger sin formand at sende denne beslutning til Rådet, Kommissionen, medlemsstaternes regeringer og parlamenter, Europol og FN's Kontor for Narkotikakontrol og Kriminalitetsbekæmpelse.</w:t>
      </w:r>
    </w:p>
    <w:p w:rsidR="00E365E1" w:rsidRPr="00AD449A" w:rsidP="00652491" w14:paraId="2A152937" w14:textId="52F151DA"/>
    <w:sectPr w:rsidSect="00AD449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449A" w14:paraId="56C0A2F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449A" w14:paraId="7174918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449A" w14:paraId="688B2EC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52491" w:rsidRPr="00AD449A" w14:paraId="1A6D834B" w14:textId="77777777">
      <w:r w:rsidRPr="00AD449A">
        <w:separator/>
      </w:r>
    </w:p>
  </w:footnote>
  <w:footnote w:type="continuationSeparator" w:id="1">
    <w:p w:rsidR="00652491" w:rsidRPr="00AD449A" w14:paraId="59FF156B" w14:textId="77777777">
      <w:r w:rsidRPr="00AD449A">
        <w:continuationSeparator/>
      </w:r>
    </w:p>
  </w:footnote>
  <w:footnote w:id="2">
    <w:p w:rsidR="006D1932" w:rsidRPr="00AD449A" w:rsidP="00AD449A" w14:paraId="7E6E65AB" w14:textId="697B8D03">
      <w:pPr>
        <w:pStyle w:val="FootnoteText"/>
        <w:ind w:left="567" w:hanging="567"/>
        <w:rPr>
          <w:sz w:val="24"/>
          <w:lang w:val="da-DK"/>
        </w:rPr>
      </w:pPr>
      <w:r w:rsidRPr="00AD449A">
        <w:rPr>
          <w:rStyle w:val="FootnoteReference"/>
          <w:sz w:val="24"/>
          <w:lang w:val="da-DK"/>
        </w:rPr>
        <w:footnoteRef/>
      </w:r>
      <w:r w:rsidRPr="00AD449A" w:rsidR="00AD449A">
        <w:rPr>
          <w:sz w:val="24"/>
          <w:lang w:val="da-DK"/>
        </w:rPr>
        <w:t xml:space="preserve"> </w:t>
      </w:r>
      <w:r w:rsidRPr="00AD449A" w:rsidR="00AD449A">
        <w:rPr>
          <w:sz w:val="24"/>
          <w:lang w:val="da-DK"/>
        </w:rPr>
        <w:tab/>
      </w:r>
      <w:r w:rsidRPr="00AD449A">
        <w:rPr>
          <w:sz w:val="24"/>
          <w:lang w:val="da-DK"/>
        </w:rPr>
        <w:t xml:space="preserve">EUT L 277 af 27.10.2022, s. 1, ELI: </w:t>
      </w:r>
      <w:hyperlink r:id="rId1" w:history="1">
        <w:r w:rsidRPr="00AD449A">
          <w:rPr>
            <w:rStyle w:val="Hyperlink"/>
            <w:sz w:val="24"/>
            <w:lang w:val="da-DK"/>
          </w:rPr>
          <w:t>http://data.europa.eu/eli/reg/2022/2065/oj</w:t>
        </w:r>
      </w:hyperlink>
      <w:r w:rsidRPr="00AD449A">
        <w:rPr>
          <w:sz w:val="24"/>
          <w:lang w:val="da-DK"/>
        </w:rPr>
        <w:t>.</w:t>
      </w:r>
    </w:p>
  </w:footnote>
  <w:footnote w:id="3">
    <w:p w:rsidR="006D1932" w:rsidRPr="00CA5484" w:rsidP="00AD449A" w14:paraId="6C3F5152" w14:textId="29897208">
      <w:pPr>
        <w:pStyle w:val="FootnoteText"/>
        <w:ind w:left="567" w:hanging="567"/>
        <w:rPr>
          <w:sz w:val="24"/>
          <w:lang w:val="fi-FI"/>
        </w:rPr>
      </w:pPr>
      <w:r w:rsidRPr="00AD449A">
        <w:rPr>
          <w:rStyle w:val="FootnoteReference"/>
          <w:sz w:val="24"/>
          <w:szCs w:val="16"/>
          <w:lang w:val="da-DK"/>
        </w:rPr>
        <w:footnoteRef/>
      </w:r>
      <w:r w:rsidRPr="00CA5484" w:rsidR="00AD449A">
        <w:rPr>
          <w:sz w:val="24"/>
          <w:lang w:val="fi-FI"/>
        </w:rPr>
        <w:t xml:space="preserve"> </w:t>
      </w:r>
      <w:r w:rsidRPr="00CA5484" w:rsidR="00AD449A">
        <w:rPr>
          <w:sz w:val="24"/>
          <w:lang w:val="fi-FI"/>
        </w:rPr>
        <w:tab/>
      </w:r>
      <w:r w:rsidRPr="00CA5484">
        <w:rPr>
          <w:sz w:val="24"/>
          <w:lang w:val="fi-FI"/>
        </w:rPr>
        <w:t xml:space="preserve">EUT C, C/2025/5519, 10.10.2025, ELI: </w:t>
      </w:r>
      <w:hyperlink r:id="rId2" w:history="1">
        <w:r w:rsidRPr="00CA5484">
          <w:rPr>
            <w:rStyle w:val="Hyperlink"/>
            <w:sz w:val="24"/>
            <w:lang w:val="fi-FI"/>
          </w:rPr>
          <w:t>http://data.europa.eu/eli/C/2025/5519/oj</w:t>
        </w:r>
      </w:hyperlink>
      <w:r w:rsidRPr="00CA5484">
        <w:rPr>
          <w:sz w:val="24"/>
          <w:lang w:val="fi-FI"/>
        </w:rPr>
        <w:t xml:space="preserve">. </w:t>
      </w:r>
    </w:p>
  </w:footnote>
  <w:footnote w:id="4">
    <w:p w:rsidR="006D1932" w:rsidRPr="00AD449A" w:rsidP="00AD449A" w14:paraId="541FAEE6" w14:textId="2887F5EA">
      <w:pPr>
        <w:pStyle w:val="FootnoteText"/>
        <w:ind w:left="567" w:hanging="567"/>
        <w:rPr>
          <w:sz w:val="24"/>
          <w:lang w:val="da-DK"/>
        </w:rPr>
      </w:pPr>
      <w:r w:rsidRPr="00AD449A">
        <w:rPr>
          <w:rStyle w:val="FootnoteReference"/>
          <w:sz w:val="24"/>
          <w:lang w:val="da-DK"/>
        </w:rPr>
        <w:footnoteRef/>
      </w:r>
      <w:r w:rsidRPr="00AD449A" w:rsidR="00AD449A">
        <w:rPr>
          <w:sz w:val="24"/>
          <w:lang w:val="da-DK"/>
        </w:rPr>
        <w:t xml:space="preserve"> </w:t>
      </w:r>
      <w:r w:rsidRPr="00AD449A" w:rsidR="00AD449A">
        <w:rPr>
          <w:sz w:val="24"/>
          <w:lang w:val="da-DK"/>
        </w:rPr>
        <w:tab/>
      </w:r>
      <w:r w:rsidRPr="00AD449A">
        <w:rPr>
          <w:sz w:val="24"/>
          <w:lang w:val="da-DK"/>
        </w:rPr>
        <w:t>Vedtagne tekster, P10_TA(2026)0007.</w:t>
      </w:r>
    </w:p>
  </w:footnote>
  <w:footnote w:id="5">
    <w:p w:rsidR="000A782F" w:rsidRPr="00AD449A" w:rsidP="000A782F" w14:paraId="433117E1" w14:textId="1D9346EC">
      <w:pPr>
        <w:pStyle w:val="FootnoteText"/>
        <w:ind w:left="567" w:hanging="567"/>
        <w:rPr>
          <w:sz w:val="24"/>
          <w:lang w:val="da-DK"/>
        </w:rPr>
      </w:pPr>
      <w:r w:rsidRPr="00AD449A">
        <w:rPr>
          <w:rStyle w:val="FootnoteReference"/>
          <w:sz w:val="24"/>
          <w:lang w:val="da-DK"/>
        </w:rPr>
        <w:footnoteRef/>
      </w:r>
      <w:r w:rsidRPr="00AD449A">
        <w:rPr>
          <w:sz w:val="24"/>
          <w:lang w:val="da-DK"/>
        </w:rPr>
        <w:t xml:space="preserve"> </w:t>
      </w:r>
      <w:r w:rsidRPr="00AD449A">
        <w:rPr>
          <w:sz w:val="24"/>
          <w:lang w:val="da-DK"/>
        </w:rPr>
        <w:tab/>
        <w:t xml:space="preserve">EUT L 132 af 21.5.2016, s </w:t>
      </w:r>
      <w:r w:rsidRPr="00AD449A">
        <w:rPr>
          <w:sz w:val="24"/>
          <w:lang w:val="da-DK"/>
        </w:rPr>
        <w:t>1</w:t>
      </w:r>
      <w:r w:rsidR="002C498E">
        <w:rPr>
          <w:sz w:val="24"/>
          <w:lang w:val="da-DK"/>
        </w:rPr>
        <w:t>.</w:t>
      </w:r>
      <w:r w:rsidRPr="00AD449A">
        <w:rPr>
          <w:sz w:val="24"/>
          <w:lang w:val="da-DK"/>
        </w:rPr>
        <w:t xml:space="preserve">, ELI: </w:t>
      </w:r>
      <w:hyperlink r:id="rId3" w:history="1">
        <w:r w:rsidRPr="00AD449A">
          <w:rPr>
            <w:rStyle w:val="Hyperlink"/>
            <w:sz w:val="24"/>
            <w:lang w:val="da-DK"/>
          </w:rPr>
          <w:t>http://data.europa.eu/eli/dir/2016/800/oj</w:t>
        </w:r>
      </w:hyperlink>
      <w:r w:rsidRPr="00AD449A">
        <w:rPr>
          <w:sz w:val="24"/>
          <w:lang w:val="da-DK"/>
        </w:rPr>
        <w:t>.</w:t>
      </w:r>
    </w:p>
  </w:footnote>
  <w:footnote w:id="6">
    <w:p w:rsidR="006D1932" w:rsidRPr="00CA5484" w:rsidP="00AD449A" w14:paraId="44A4F3FC" w14:textId="5B6C64CA">
      <w:pPr>
        <w:pStyle w:val="FootnoteText"/>
        <w:ind w:left="567" w:hanging="567"/>
        <w:rPr>
          <w:sz w:val="24"/>
          <w:lang w:val="en-GB"/>
        </w:rPr>
      </w:pPr>
      <w:r w:rsidRPr="00AD449A">
        <w:rPr>
          <w:rStyle w:val="FootnoteReference"/>
          <w:sz w:val="24"/>
          <w:lang w:val="da-DK"/>
        </w:rPr>
        <w:footnoteRef/>
      </w:r>
      <w:r w:rsidRPr="00CA5484" w:rsidR="00AD449A">
        <w:rPr>
          <w:sz w:val="24"/>
          <w:lang w:val="en-GB"/>
        </w:rPr>
        <w:t xml:space="preserve"> </w:t>
      </w:r>
      <w:r w:rsidRPr="00CA5484" w:rsidR="00AD449A">
        <w:rPr>
          <w:sz w:val="24"/>
          <w:lang w:val="en-GB"/>
        </w:rPr>
        <w:tab/>
      </w:r>
      <w:r w:rsidRPr="00CA5484">
        <w:rPr>
          <w:sz w:val="24"/>
          <w:lang w:val="en-GB"/>
        </w:rPr>
        <w:t>Europols</w:t>
      </w:r>
      <w:r w:rsidRPr="00CA5484">
        <w:rPr>
          <w:sz w:val="24"/>
          <w:lang w:val="en-GB"/>
        </w:rPr>
        <w:t xml:space="preserve"> rapport </w:t>
      </w:r>
      <w:r w:rsidRPr="00CA5484">
        <w:rPr>
          <w:sz w:val="24"/>
          <w:lang w:val="en-GB"/>
        </w:rPr>
        <w:t>af</w:t>
      </w:r>
      <w:r w:rsidRPr="00CA5484">
        <w:rPr>
          <w:sz w:val="24"/>
          <w:lang w:val="en-GB"/>
        </w:rPr>
        <w:t xml:space="preserve"> 4. </w:t>
      </w:r>
      <w:r w:rsidRPr="00CA5484">
        <w:rPr>
          <w:sz w:val="24"/>
          <w:lang w:val="en-GB"/>
        </w:rPr>
        <w:t>april</w:t>
      </w:r>
      <w:r w:rsidRPr="00CA5484">
        <w:rPr>
          <w:sz w:val="24"/>
          <w:lang w:val="en-GB"/>
        </w:rPr>
        <w:t xml:space="preserve"> 2024 "</w:t>
      </w:r>
      <w:hyperlink r:id="rId4" w:tgtFrame="_blank" w:history="1">
        <w:r w:rsidRPr="00CA5484">
          <w:rPr>
            <w:rStyle w:val="Hyperlink"/>
            <w:sz w:val="24"/>
            <w:lang w:val="en-GB"/>
          </w:rPr>
          <w:t>Decoding the EU's most threatening criminal networks,</w:t>
        </w:r>
      </w:hyperlink>
      <w:r w:rsidRPr="00CA5484">
        <w:rPr>
          <w:sz w:val="24"/>
          <w:lang w:val="en-GB"/>
        </w:rPr>
        <w:t xml:space="preserve">", </w:t>
      </w:r>
      <w:r w:rsidRPr="00CA5484">
        <w:rPr>
          <w:sz w:val="24"/>
          <w:lang w:val="en-GB"/>
        </w:rPr>
        <w:t>ajourført</w:t>
      </w:r>
      <w:r w:rsidRPr="00CA5484">
        <w:rPr>
          <w:sz w:val="24"/>
          <w:lang w:val="en-GB"/>
        </w:rPr>
        <w:t xml:space="preserve"> </w:t>
      </w:r>
      <w:r w:rsidRPr="00CA5484">
        <w:rPr>
          <w:sz w:val="24"/>
          <w:lang w:val="en-GB"/>
        </w:rPr>
        <w:t>i</w:t>
      </w:r>
      <w:r w:rsidRPr="00CA5484">
        <w:rPr>
          <w:sz w:val="24"/>
          <w:lang w:val="en-GB"/>
        </w:rPr>
        <w:t xml:space="preserve"> </w:t>
      </w:r>
      <w:r w:rsidRPr="00CA5484">
        <w:rPr>
          <w:sz w:val="24"/>
          <w:lang w:val="en-GB"/>
        </w:rPr>
        <w:t>maj</w:t>
      </w:r>
      <w:r w:rsidRPr="00CA5484">
        <w:rPr>
          <w:sz w:val="24"/>
          <w:lang w:val="en-GB"/>
        </w:rPr>
        <w:t xml:space="preserve"> 2026.</w:t>
      </w:r>
    </w:p>
  </w:footnote>
  <w:footnote w:id="7">
    <w:p w:rsidR="006D1932" w:rsidRPr="00AD449A" w:rsidP="00AD449A" w14:paraId="0730D28F" w14:textId="4C590B95">
      <w:pPr>
        <w:pStyle w:val="FootnoteText"/>
        <w:ind w:left="567" w:hanging="567"/>
        <w:rPr>
          <w:sz w:val="24"/>
          <w:lang w:val="da-DK"/>
        </w:rPr>
      </w:pPr>
      <w:r w:rsidRPr="00AD449A">
        <w:rPr>
          <w:rStyle w:val="FootnoteReference"/>
          <w:sz w:val="24"/>
          <w:lang w:val="da-DK"/>
        </w:rPr>
        <w:footnoteRef/>
      </w:r>
      <w:r w:rsidRPr="00AD449A" w:rsidR="00AD449A">
        <w:rPr>
          <w:sz w:val="24"/>
          <w:lang w:val="da-DK"/>
        </w:rPr>
        <w:t xml:space="preserve"> </w:t>
      </w:r>
      <w:r w:rsidRPr="00AD449A" w:rsidR="00AD449A">
        <w:rPr>
          <w:sz w:val="24"/>
          <w:lang w:val="da-DK"/>
        </w:rPr>
        <w:tab/>
      </w:r>
      <w:r w:rsidRPr="00AD449A">
        <w:rPr>
          <w:sz w:val="24"/>
          <w:lang w:val="da-DK"/>
        </w:rPr>
        <w:t xml:space="preserve">Europa-Parlamentets og Rådets direktiv 2013/29/EU af 12. juni 2013 om harmonisering af medlemsstaternes love om tilgængeliggørelse af pyrotekniske artikler på markedet (EUT L 178 af 28.6.2013, s. 27, ELI: </w:t>
      </w:r>
      <w:hyperlink r:id="rId5" w:history="1">
        <w:r w:rsidRPr="00AD449A">
          <w:rPr>
            <w:rStyle w:val="Hyperlink"/>
            <w:sz w:val="24"/>
            <w:lang w:val="da-DK"/>
          </w:rPr>
          <w:t>http://data.europa.eu/eli/dir/2013/29/oj</w:t>
        </w:r>
      </w:hyperlink>
      <w:r w:rsidRPr="00AD449A">
        <w:rPr>
          <w:sz w:val="24"/>
          <w:lang w:val="da-DK"/>
        </w:rPr>
        <w:t>).</w:t>
      </w:r>
    </w:p>
  </w:footnote>
  <w:footnote w:id="8">
    <w:p w:rsidR="006D1932" w:rsidRPr="00AD449A" w:rsidP="00AD449A" w14:paraId="770A5A6A" w14:textId="14F7A907">
      <w:pPr>
        <w:pStyle w:val="FootnoteText"/>
        <w:ind w:left="567" w:hanging="567"/>
        <w:rPr>
          <w:sz w:val="24"/>
          <w:lang w:val="da-DK"/>
        </w:rPr>
      </w:pPr>
      <w:r w:rsidRPr="00AD449A">
        <w:rPr>
          <w:rStyle w:val="FootnoteReference"/>
          <w:sz w:val="24"/>
          <w:lang w:val="da-DK"/>
        </w:rPr>
        <w:footnoteRef/>
      </w:r>
      <w:r w:rsidRPr="00AD449A" w:rsidR="00AD449A">
        <w:rPr>
          <w:sz w:val="24"/>
          <w:lang w:val="da-DK"/>
        </w:rPr>
        <w:t xml:space="preserve"> </w:t>
      </w:r>
      <w:r w:rsidRPr="00AD449A" w:rsidR="00AD449A">
        <w:rPr>
          <w:sz w:val="24"/>
          <w:lang w:val="da-DK"/>
        </w:rPr>
        <w:tab/>
      </w:r>
      <w:r w:rsidRPr="00AD449A">
        <w:rPr>
          <w:sz w:val="24"/>
          <w:lang w:val="da-DK"/>
        </w:rPr>
        <w:t xml:space="preserve">Europa-Parlamentets og Rådets direktiv (EU) 2024/1712 af 13. juni 2024 om ændring af direktiv 2011/36/EU om forebyggelse og bekæmpelse af menneskehandel og beskyttelse af ofrene herfor (EUT L, 2024/1712, 24.6.2024, ELI: </w:t>
      </w:r>
      <w:hyperlink r:id="rId6" w:history="1">
        <w:r w:rsidRPr="00AD449A">
          <w:rPr>
            <w:rStyle w:val="Hyperlink"/>
            <w:sz w:val="24"/>
            <w:lang w:val="da-DK"/>
          </w:rPr>
          <w:t>http://data.europa.eu/eli/dir/2024/1712/oj</w:t>
        </w:r>
      </w:hyperlink>
      <w:r w:rsidRPr="00AD449A">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449A" w14:paraId="64DC352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449A" w14:paraId="39449A4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449A" w14:paraId="0D67EF5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5847327">
    <w:abstractNumId w:val="9"/>
  </w:num>
  <w:num w:numId="2" w16cid:durableId="2038046146">
    <w:abstractNumId w:val="9"/>
  </w:num>
  <w:num w:numId="3" w16cid:durableId="526678794">
    <w:abstractNumId w:val="7"/>
  </w:num>
  <w:num w:numId="4" w16cid:durableId="1271208208">
    <w:abstractNumId w:val="7"/>
  </w:num>
  <w:num w:numId="5" w16cid:durableId="800080383">
    <w:abstractNumId w:val="6"/>
  </w:num>
  <w:num w:numId="6" w16cid:durableId="665323961">
    <w:abstractNumId w:val="6"/>
  </w:num>
  <w:num w:numId="7" w16cid:durableId="453795709">
    <w:abstractNumId w:val="5"/>
  </w:num>
  <w:num w:numId="8" w16cid:durableId="231815165">
    <w:abstractNumId w:val="5"/>
  </w:num>
  <w:num w:numId="9" w16cid:durableId="1102653948">
    <w:abstractNumId w:val="4"/>
  </w:num>
  <w:num w:numId="10" w16cid:durableId="556015172">
    <w:abstractNumId w:val="4"/>
  </w:num>
  <w:num w:numId="11" w16cid:durableId="1637442544">
    <w:abstractNumId w:val="8"/>
  </w:num>
  <w:num w:numId="12" w16cid:durableId="1235506423">
    <w:abstractNumId w:val="8"/>
  </w:num>
  <w:num w:numId="13" w16cid:durableId="723258775">
    <w:abstractNumId w:val="3"/>
  </w:num>
  <w:num w:numId="14" w16cid:durableId="632755713">
    <w:abstractNumId w:val="3"/>
  </w:num>
  <w:num w:numId="15" w16cid:durableId="667487200">
    <w:abstractNumId w:val="2"/>
  </w:num>
  <w:num w:numId="16" w16cid:durableId="1972327144">
    <w:abstractNumId w:val="2"/>
  </w:num>
  <w:num w:numId="17" w16cid:durableId="950014973">
    <w:abstractNumId w:val="1"/>
  </w:num>
  <w:num w:numId="18" w16cid:durableId="1041393471">
    <w:abstractNumId w:val="1"/>
  </w:num>
  <w:num w:numId="19" w16cid:durableId="1390764630">
    <w:abstractNumId w:val="0"/>
  </w:num>
  <w:num w:numId="20" w16cid:durableId="1677683868">
    <w:abstractNumId w:val="0"/>
  </w:num>
  <w:num w:numId="21" w16cid:durableId="2026665187">
    <w:abstractNumId w:val="9"/>
  </w:num>
  <w:num w:numId="22" w16cid:durableId="571934516">
    <w:abstractNumId w:val="7"/>
  </w:num>
  <w:num w:numId="23" w16cid:durableId="1547181599">
    <w:abstractNumId w:val="6"/>
  </w:num>
  <w:num w:numId="24" w16cid:durableId="1573541885">
    <w:abstractNumId w:val="5"/>
  </w:num>
  <w:num w:numId="25" w16cid:durableId="1368409218">
    <w:abstractNumId w:val="4"/>
  </w:num>
  <w:num w:numId="26" w16cid:durableId="946623859">
    <w:abstractNumId w:val="8"/>
  </w:num>
  <w:num w:numId="27" w16cid:durableId="1818180411">
    <w:abstractNumId w:val="3"/>
  </w:num>
  <w:num w:numId="28" w16cid:durableId="300580531">
    <w:abstractNumId w:val="2"/>
  </w:num>
  <w:num w:numId="29" w16cid:durableId="1337541107">
    <w:abstractNumId w:val="1"/>
  </w:num>
  <w:num w:numId="30" w16cid:durableId="839738305">
    <w:abstractNumId w:val="0"/>
  </w:num>
  <w:num w:numId="31" w16cid:durableId="367150590">
    <w:abstractNumId w:val="9"/>
  </w:num>
  <w:num w:numId="32" w16cid:durableId="289173839">
    <w:abstractNumId w:val="7"/>
  </w:num>
  <w:num w:numId="33" w16cid:durableId="1931770181">
    <w:abstractNumId w:val="6"/>
  </w:num>
  <w:num w:numId="34" w16cid:durableId="727993332">
    <w:abstractNumId w:val="5"/>
  </w:num>
  <w:num w:numId="35" w16cid:durableId="1843203594">
    <w:abstractNumId w:val="4"/>
  </w:num>
  <w:num w:numId="36" w16cid:durableId="497425404">
    <w:abstractNumId w:val="8"/>
  </w:num>
  <w:num w:numId="37" w16cid:durableId="222715386">
    <w:abstractNumId w:val="3"/>
  </w:num>
  <w:num w:numId="38" w16cid:durableId="1599022972">
    <w:abstractNumId w:val="2"/>
  </w:num>
  <w:num w:numId="39" w16cid:durableId="1847548921">
    <w:abstractNumId w:val="1"/>
  </w:num>
  <w:num w:numId="40" w16cid:durableId="684476878">
    <w:abstractNumId w:val="0"/>
  </w:num>
  <w:num w:numId="41" w16cid:durableId="1628270163">
    <w:abstractNumId w:val="10"/>
  </w:num>
  <w:num w:numId="42" w16cid:durableId="1094396710">
    <w:abstractNumId w:val="10"/>
  </w:num>
  <w:num w:numId="43" w16cid:durableId="717166725">
    <w:abstractNumId w:val="10"/>
  </w:num>
  <w:num w:numId="44" w16cid:durableId="14306594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91"/>
    <w:rsid w:val="00002272"/>
    <w:rsid w:val="00064002"/>
    <w:rsid w:val="000677B9"/>
    <w:rsid w:val="000831BA"/>
    <w:rsid w:val="000A42CC"/>
    <w:rsid w:val="000A782F"/>
    <w:rsid w:val="000E7DD9"/>
    <w:rsid w:val="0010095E"/>
    <w:rsid w:val="00125B37"/>
    <w:rsid w:val="00177763"/>
    <w:rsid w:val="00187494"/>
    <w:rsid w:val="001F32AE"/>
    <w:rsid w:val="002767FF"/>
    <w:rsid w:val="00293ED2"/>
    <w:rsid w:val="002B18FE"/>
    <w:rsid w:val="002B5493"/>
    <w:rsid w:val="002C498E"/>
    <w:rsid w:val="002E182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1DEF"/>
    <w:rsid w:val="006037C0"/>
    <w:rsid w:val="00652491"/>
    <w:rsid w:val="006631B6"/>
    <w:rsid w:val="00680577"/>
    <w:rsid w:val="006B3705"/>
    <w:rsid w:val="006D193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D30"/>
    <w:rsid w:val="00A1687D"/>
    <w:rsid w:val="00A43E52"/>
    <w:rsid w:val="00A4678D"/>
    <w:rsid w:val="00A778C7"/>
    <w:rsid w:val="00AB441E"/>
    <w:rsid w:val="00AB6293"/>
    <w:rsid w:val="00AD449A"/>
    <w:rsid w:val="00AE0928"/>
    <w:rsid w:val="00AF3B82"/>
    <w:rsid w:val="00B12E95"/>
    <w:rsid w:val="00B22876"/>
    <w:rsid w:val="00B558F0"/>
    <w:rsid w:val="00BD48FE"/>
    <w:rsid w:val="00BD7BD8"/>
    <w:rsid w:val="00BE6ADC"/>
    <w:rsid w:val="00C05BFE"/>
    <w:rsid w:val="00C23CD4"/>
    <w:rsid w:val="00C61C0C"/>
    <w:rsid w:val="00C941CB"/>
    <w:rsid w:val="00CA5484"/>
    <w:rsid w:val="00CC2357"/>
    <w:rsid w:val="00CF071A"/>
    <w:rsid w:val="00D058B8"/>
    <w:rsid w:val="00D56C11"/>
    <w:rsid w:val="00D834A0"/>
    <w:rsid w:val="00D872DF"/>
    <w:rsid w:val="00D90D2F"/>
    <w:rsid w:val="00D91E21"/>
    <w:rsid w:val="00DA7FCD"/>
    <w:rsid w:val="00E365E1"/>
    <w:rsid w:val="00E820A4"/>
    <w:rsid w:val="00EA243C"/>
    <w:rsid w:val="00EB006A"/>
    <w:rsid w:val="00EB4772"/>
    <w:rsid w:val="00ED169E"/>
    <w:rsid w:val="00ED4235"/>
    <w:rsid w:val="00F04346"/>
    <w:rsid w:val="00F075DC"/>
    <w:rsid w:val="00F149E9"/>
    <w:rsid w:val="00F5134D"/>
    <w:rsid w:val="00F74202"/>
    <w:rsid w:val="00F87713"/>
    <w:rsid w:val="00F94DEA"/>
    <w:rsid w:val="00FB4360"/>
    <w:rsid w:val="00FC4C78"/>
    <w:rsid w:val="00FD0C70"/>
  </w:rsids>
  <w:docVars>
    <w:docVar w:name="dvdocse" w:val="B10-0275/2026"/>
    <w:docVar w:name="dvlangue" w:val="DA"/>
    <w:docVar w:name="dvnumam" w:val="0"/>
    <w:docVar w:name="dvpe" w:val="783.329"/>
    <w:docVar w:name="dvtitre" w:val="Europa-Parlamentets beslutning af xx.xx 2026 om rekruttering af børn til organiseret kriminalitet(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D346B4"/>
  <w15:chartTrackingRefBased/>
  <w15:docId w15:val="{9637FA74-77F0-42B3-B19E-B14F4DE1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1932"/>
    <w:pPr>
      <w:spacing w:before="480" w:after="240"/>
    </w:pPr>
  </w:style>
  <w:style w:type="paragraph" w:customStyle="1" w:styleId="NormalHanging12a">
    <w:name w:val="NormalHanging12a"/>
    <w:basedOn w:val="Normal"/>
    <w:link w:val="NormalHanging12aChar"/>
    <w:rsid w:val="006D1932"/>
    <w:pPr>
      <w:spacing w:after="240"/>
      <w:ind w:left="567" w:hanging="567"/>
    </w:pPr>
  </w:style>
  <w:style w:type="character" w:styleId="Hyperlink">
    <w:name w:val="Hyperlink"/>
    <w:basedOn w:val="DefaultParagraphFont"/>
    <w:unhideWhenUsed/>
    <w:rsid w:val="006D1932"/>
    <w:rPr>
      <w:color w:val="0563C1" w:themeColor="hyperlink"/>
      <w:u w:val="single"/>
    </w:rPr>
  </w:style>
  <w:style w:type="character" w:customStyle="1" w:styleId="NormalHanging12aChar">
    <w:name w:val="NormalHanging12a Char"/>
    <w:basedOn w:val="DefaultParagraphFont"/>
    <w:link w:val="NormalHanging12a"/>
    <w:rsid w:val="006D1932"/>
    <w:rPr>
      <w:sz w:val="24"/>
      <w:lang w:val="da-DK"/>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6D1932"/>
    <w:pPr>
      <w:widowControl/>
      <w:spacing w:after="160" w:line="240" w:lineRule="exact"/>
    </w:pPr>
    <w:rPr>
      <w:sz w:val="20"/>
      <w:vertAlign w:val="superscript"/>
      <w:lang w:val="en-GB"/>
    </w:rPr>
  </w:style>
  <w:style w:type="paragraph" w:styleId="Revision">
    <w:name w:val="Revision"/>
    <w:hidden/>
    <w:uiPriority w:val="99"/>
    <w:semiHidden/>
    <w:rsid w:val="000A782F"/>
    <w:rPr>
      <w:sz w:val="24"/>
      <w:lang w:val="da-DK"/>
    </w:rPr>
  </w:style>
  <w:style w:type="character" w:styleId="CommentReference">
    <w:name w:val="annotation reference"/>
    <w:basedOn w:val="DefaultParagraphFont"/>
    <w:rsid w:val="000A782F"/>
    <w:rPr>
      <w:sz w:val="16"/>
      <w:szCs w:val="16"/>
    </w:rPr>
  </w:style>
  <w:style w:type="paragraph" w:styleId="CommentText">
    <w:name w:val="annotation text"/>
    <w:basedOn w:val="Normal"/>
    <w:link w:val="CommentTextChar"/>
    <w:rsid w:val="000A782F"/>
    <w:rPr>
      <w:sz w:val="20"/>
    </w:rPr>
  </w:style>
  <w:style w:type="character" w:customStyle="1" w:styleId="CommentTextChar">
    <w:name w:val="Comment Text Char"/>
    <w:basedOn w:val="DefaultParagraphFont"/>
    <w:link w:val="CommentText"/>
    <w:rsid w:val="000A782F"/>
    <w:rPr>
      <w:lang w:val="da-DK"/>
    </w:rPr>
  </w:style>
  <w:style w:type="paragraph" w:styleId="CommentSubject">
    <w:name w:val="annotation subject"/>
    <w:basedOn w:val="CommentText"/>
    <w:next w:val="CommentText"/>
    <w:link w:val="CommentSubjectChar"/>
    <w:rsid w:val="000A782F"/>
    <w:rPr>
      <w:b/>
      <w:bCs/>
    </w:rPr>
  </w:style>
  <w:style w:type="character" w:customStyle="1" w:styleId="CommentSubjectChar">
    <w:name w:val="Comment Subject Char"/>
    <w:basedOn w:val="CommentTextChar"/>
    <w:link w:val="CommentSubject"/>
    <w:rsid w:val="000A782F"/>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2629</Words>
  <Characters>17159</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2026-07-14T09:53:00Z</dcterms:created>
  <dcterms:modified xsi:type="dcterms:W3CDTF">2026-07-14T09:53:00Z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B10-0275/2026</vt:lpwstr>
  </property>
  <property fmtid="{D5CDD505-2E9C-101B-9397-08002B2CF9AE}" pid="4" name="&lt;Type&gt;">
    <vt:lpwstr>RR</vt:lpwstr>
  </property>
</Properties>
</file>