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7A45880" w14:textId="77777777" w:rsidTr="0010095E">
        <w:tblPrEx>
          <w:tblW w:w="9072" w:type="dxa"/>
          <w:tblLook w:val="01E0"/>
        </w:tblPrEx>
        <w:trPr>
          <w:trHeight w:hRule="exact" w:val="1418"/>
        </w:trPr>
        <w:tc>
          <w:tcPr>
            <w:tcW w:w="6804" w:type="dxa"/>
            <w:shd w:val="clear" w:color="auto" w:fill="auto"/>
            <w:vAlign w:val="center"/>
          </w:tcPr>
          <w:p w:rsidR="00751A4A" w:rsidRPr="006159BD" w:rsidP="0010095E" w14:paraId="10AFC301" w14:textId="6D2F34EE">
            <w:pPr>
              <w:pStyle w:val="EPName"/>
            </w:pPr>
            <w:r w:rsidRPr="006159BD">
              <w:t>Euroopan parlamentti</w:t>
            </w:r>
          </w:p>
          <w:p w:rsidR="00751A4A" w:rsidRPr="006159BD" w:rsidP="005F1B17" w14:paraId="41D8BBEE" w14:textId="77777777">
            <w:pPr>
              <w:pStyle w:val="EPTerm"/>
              <w:rPr>
                <w:rStyle w:val="HideTWBExt"/>
                <w:noProof w:val="0"/>
                <w:vanish w:val="0"/>
                <w:color w:val="auto"/>
              </w:rPr>
            </w:pPr>
            <w:r w:rsidRPr="006159BD">
              <w:t>2024</w:t>
            </w:r>
            <w:r w:rsidRPr="006159BD" w:rsidR="00817416">
              <w:t>-202</w:t>
            </w:r>
            <w:r w:rsidRPr="006159BD">
              <w:t>9</w:t>
            </w:r>
          </w:p>
        </w:tc>
        <w:tc>
          <w:tcPr>
            <w:tcW w:w="2268" w:type="dxa"/>
            <w:shd w:val="clear" w:color="auto" w:fill="auto"/>
          </w:tcPr>
          <w:p w:rsidR="00751A4A" w:rsidRPr="006159BD" w:rsidP="0010095E" w14:paraId="32AE66A3" w14:textId="77777777">
            <w:pPr>
              <w:pStyle w:val="EPLogo"/>
            </w:pPr>
            <w:r w:rsidRPr="006159BD">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6159BD" w:rsidP="004C5D52" w14:paraId="26E405D0" w14:textId="77777777">
      <w:pPr>
        <w:pStyle w:val="LineTop"/>
      </w:pPr>
    </w:p>
    <w:p w:rsidR="00680577" w:rsidRPr="006159BD" w:rsidP="00680577" w14:paraId="14BFB1D7" w14:textId="10A14E41">
      <w:pPr>
        <w:pStyle w:val="EPBodyTA1"/>
      </w:pPr>
      <w:r w:rsidRPr="006159BD">
        <w:t>HYVÄKSYTYT TEKSTIT</w:t>
      </w:r>
    </w:p>
    <w:p w:rsidR="00D058B8" w:rsidRPr="006159BD" w:rsidP="00D058B8" w14:paraId="19163E34" w14:textId="77777777">
      <w:pPr>
        <w:pStyle w:val="LineBottom"/>
      </w:pPr>
    </w:p>
    <w:p w:rsidR="001A0A64" w:rsidRPr="006159BD" w:rsidP="001A0A64" w14:paraId="26C66805" w14:textId="308512BB">
      <w:pPr>
        <w:pStyle w:val="ATHeading1"/>
      </w:pPr>
      <w:bookmarkStart w:id="0" w:name="TANumber"/>
      <w:r w:rsidRPr="006159BD">
        <w:t>P10_TA(2026)0</w:t>
      </w:r>
      <w:r w:rsidRPr="006159BD" w:rsidR="00FE0820">
        <w:t>23</w:t>
      </w:r>
      <w:r w:rsidRPr="006159BD">
        <w:t>0</w:t>
      </w:r>
      <w:bookmarkEnd w:id="0"/>
    </w:p>
    <w:p w:rsidR="001A0A64" w:rsidRPr="006159BD" w:rsidP="001A0A64" w14:paraId="430D601D" w14:textId="77777777">
      <w:pPr>
        <w:pStyle w:val="ATHeading2"/>
      </w:pPr>
      <w:bookmarkStart w:id="1" w:name="title"/>
      <w:r w:rsidRPr="006159BD">
        <w:t>Lasten värvääminen järjestäytyneen rikollisuuden palvelukseen</w:t>
      </w:r>
      <w:bookmarkEnd w:id="1"/>
    </w:p>
    <w:p w:rsidR="001A0A64" w:rsidRPr="006159BD" w:rsidP="001A0A64" w14:paraId="5053F5E0" w14:textId="77777777">
      <w:pPr>
        <w:rPr>
          <w:i/>
          <w:vanish/>
        </w:rPr>
      </w:pPr>
      <w:r>
        <w:rPr>
          <w:i/>
        </w:rPr>
        <w:fldChar w:fldCharType="begin"/>
      </w:r>
      <w:r w:rsidRPr="006159BD">
        <w:rPr>
          <w:i/>
        </w:rPr>
        <w:instrText xml:space="preserve"> TC"(</w:instrText>
      </w:r>
      <w:bookmarkStart w:id="2" w:name="DocNumber"/>
      <w:r w:rsidRPr="006159BD">
        <w:rPr>
          <w:i/>
        </w:rPr>
        <w:instrText>B10-0275/2026</w:instrText>
      </w:r>
      <w:bookmarkEnd w:id="2"/>
      <w:r w:rsidRPr="006159BD">
        <w:rPr>
          <w:i/>
        </w:rPr>
        <w:instrText xml:space="preserve">)"\l3 \n&gt; \* MERGEFORMAT </w:instrText>
      </w:r>
      <w:r>
        <w:rPr>
          <w:i/>
        </w:rPr>
        <w:fldChar w:fldCharType="end"/>
      </w:r>
    </w:p>
    <w:p w:rsidR="001A0A64" w:rsidRPr="006159BD" w:rsidP="001A0A64" w14:paraId="7A35111D" w14:textId="77777777">
      <w:pPr>
        <w:rPr>
          <w:vanish/>
        </w:rPr>
      </w:pPr>
      <w:bookmarkStart w:id="3" w:name="PE"/>
      <w:r w:rsidRPr="006159BD">
        <w:rPr>
          <w:vanish/>
        </w:rPr>
        <w:t>PE783.329</w:t>
      </w:r>
      <w:bookmarkEnd w:id="3"/>
    </w:p>
    <w:p w:rsidR="001A0A64" w:rsidRPr="006159BD" w:rsidP="00DF11BF" w14:paraId="000F57CC" w14:textId="3E10DAA1">
      <w:pPr>
        <w:pStyle w:val="ATHeading3"/>
      </w:pPr>
      <w:bookmarkStart w:id="4" w:name="Sujet"/>
      <w:r w:rsidRPr="006159BD">
        <w:t>Euroopan parlamentin päätöslauselma 18. kesäkuuta 2026 lasten värväämisestä järjestäytyneen rikollisuuden palvelukseen</w:t>
      </w:r>
      <w:bookmarkEnd w:id="4"/>
      <w:r w:rsidRPr="006159BD">
        <w:t xml:space="preserve"> </w:t>
      </w:r>
      <w:bookmarkStart w:id="5" w:name="References"/>
      <w:r w:rsidRPr="006159BD">
        <w:t>(2026/2725(RSP))</w:t>
      </w:r>
      <w:bookmarkEnd w:id="5"/>
    </w:p>
    <w:p w:rsidR="000508FA" w:rsidRPr="006159BD" w:rsidP="000508FA" w14:paraId="1A6C9DD4" w14:textId="77777777">
      <w:pPr>
        <w:pStyle w:val="EPComma"/>
        <w:widowControl/>
      </w:pPr>
      <w:bookmarkStart w:id="6" w:name="TextBodyBegin"/>
      <w:bookmarkEnd w:id="6"/>
      <w:r w:rsidRPr="006159BD">
        <w:rPr>
          <w:i/>
        </w:rPr>
        <w:t>Euroopan parlamentti</w:t>
      </w:r>
      <w:r w:rsidRPr="006159BD">
        <w:t>, joka</w:t>
      </w:r>
    </w:p>
    <w:p w:rsidR="000508FA" w:rsidRPr="006159BD" w:rsidP="000508FA" w14:paraId="53EF8071" w14:textId="77777777">
      <w:pPr>
        <w:pStyle w:val="NormalHanging12a"/>
        <w:widowControl/>
        <w:rPr>
          <w:spacing w:val="-2"/>
        </w:rPr>
      </w:pPr>
      <w:r w:rsidRPr="006159BD">
        <w:t>–</w:t>
      </w:r>
      <w:r w:rsidRPr="006159BD">
        <w:tab/>
        <w:t>ottaa huomioon YK:n yleissopimuksen lapsen oikeuksista,</w:t>
      </w:r>
    </w:p>
    <w:p w:rsidR="000508FA" w:rsidRPr="006159BD" w:rsidP="000508FA" w14:paraId="261F5242" w14:textId="77777777">
      <w:pPr>
        <w:pStyle w:val="NormalHanging12a"/>
        <w:widowControl/>
        <w:rPr>
          <w:spacing w:val="-2"/>
        </w:rPr>
      </w:pPr>
      <w:r w:rsidRPr="006159BD">
        <w:t>–</w:t>
      </w:r>
      <w:r w:rsidRPr="006159BD">
        <w:tab/>
        <w:t>ottaa huomioon Yhdistyneiden kansakuntien yleiskokouksen päätöslauselman 79/188 järjestäytyneiden rikollis- ja terroristiryhmien harjoittaman lapsiin kohdistuvan väkivallan ehkäisemisestä ja torjumisesta rikoksentorjunnan ja rikosoikeuden alalla,</w:t>
      </w:r>
    </w:p>
    <w:p w:rsidR="000508FA" w:rsidRPr="006159BD" w:rsidP="000508FA" w14:paraId="1AA37456" w14:textId="77777777">
      <w:pPr>
        <w:pStyle w:val="NormalHanging12a"/>
        <w:widowControl/>
        <w:rPr>
          <w:spacing w:val="-2"/>
        </w:rPr>
      </w:pPr>
      <w:r w:rsidRPr="006159BD">
        <w:t>–</w:t>
      </w:r>
      <w:r w:rsidRPr="006159BD">
        <w:tab/>
        <w:t>ottaa huomioon Yhdistyneiden kansakuntien talous- ja sosiaalineuvoston päätöslauselman 2024/12 terroristiryhmiin kytköksissä olevien lasten, myös niiden, joita nämä järjestöt värväävät ja hyväksikäyttävät, kohtelusta,</w:t>
      </w:r>
    </w:p>
    <w:p w:rsidR="000508FA" w:rsidRPr="006159BD" w:rsidP="000508FA" w14:paraId="0BB2D03A" w14:textId="77777777">
      <w:pPr>
        <w:pStyle w:val="NormalHanging12a"/>
        <w:widowControl/>
        <w:rPr>
          <w:spacing w:val="-2"/>
        </w:rPr>
      </w:pPr>
      <w:r w:rsidRPr="006159BD">
        <w:t>–</w:t>
      </w:r>
      <w:r w:rsidRPr="006159BD">
        <w:tab/>
        <w:t>ottaa huomioon 1. huhtikuuta 2025 annetun komission tiedonannon ”</w:t>
      </w:r>
      <w:r w:rsidRPr="006159BD">
        <w:t>ProtectEU</w:t>
      </w:r>
      <w:r w:rsidRPr="006159BD">
        <w:t xml:space="preserve"> – eurooppalainen sisäisen turvallisuuden strategia” (COM(2025)0148),</w:t>
      </w:r>
    </w:p>
    <w:p w:rsidR="000508FA" w:rsidRPr="006159BD" w:rsidP="000508FA" w14:paraId="65EAF166" w14:textId="77777777">
      <w:pPr>
        <w:pStyle w:val="NormalHanging12a"/>
        <w:widowControl/>
        <w:rPr>
          <w:spacing w:val="-2"/>
        </w:rPr>
      </w:pPr>
      <w:r w:rsidRPr="006159BD">
        <w:t>–</w:t>
      </w:r>
      <w:r w:rsidRPr="006159BD">
        <w:tab/>
        <w:t>ottaa huomioon Europolin raportin EU:n vakavan ja järjestäytyneen rikollisuuden uhkakuva-arviosta (EU SOCTA) 2025,</w:t>
      </w:r>
    </w:p>
    <w:p w:rsidR="000508FA" w:rsidRPr="006159BD" w:rsidP="000508FA" w14:paraId="013BB5F8" w14:textId="77777777">
      <w:pPr>
        <w:pStyle w:val="NormalHanging12a"/>
        <w:widowControl/>
        <w:rPr>
          <w:spacing w:val="-2"/>
        </w:rPr>
      </w:pPr>
      <w:r w:rsidRPr="006159BD">
        <w:t>–</w:t>
      </w:r>
      <w:r w:rsidRPr="006159BD">
        <w:tab/>
        <w:t>ottaa huomioon EU:n tulevan toimintasuunnitelman lasten suojelemiseksi rikoksilta,</w:t>
      </w:r>
    </w:p>
    <w:p w:rsidR="000508FA" w:rsidRPr="006159BD" w:rsidP="000508FA" w14:paraId="6AC08B63" w14:textId="77777777">
      <w:pPr>
        <w:pStyle w:val="NormalHanging12a"/>
        <w:widowControl/>
        <w:rPr>
          <w:spacing w:val="-2"/>
        </w:rPr>
      </w:pPr>
      <w:r w:rsidRPr="006159BD">
        <w:t>–</w:t>
      </w:r>
      <w:r w:rsidRPr="006159BD">
        <w:tab/>
        <w:t xml:space="preserve">ottaa huomioon EU:n sekä YK:n huumeiden ja rikollisuuden torjunnasta vastaavan toimiston (UNODC) STRIVE </w:t>
      </w:r>
      <w:r w:rsidRPr="006159BD">
        <w:t>Juvenile</w:t>
      </w:r>
      <w:r w:rsidRPr="006159BD">
        <w:t xml:space="preserve"> -nuorisohankkeen ja sen arviointiin liittyvät havainnot,</w:t>
      </w:r>
    </w:p>
    <w:p w:rsidR="000508FA" w:rsidRPr="006159BD" w:rsidP="000508FA" w14:paraId="77B039D1" w14:textId="77777777">
      <w:pPr>
        <w:pStyle w:val="NormalHanging12a"/>
        <w:widowControl/>
      </w:pPr>
      <w:bookmarkStart w:id="7" w:name="_Hlk231207339"/>
      <w:r w:rsidRPr="006159BD">
        <w:rPr>
          <w:snapToGrid w:val="0"/>
        </w:rPr>
        <w:t>–</w:t>
      </w:r>
      <w:r w:rsidRPr="006159BD">
        <w:rPr>
          <w:snapToGrid w:val="0"/>
        </w:rPr>
        <w:tab/>
      </w:r>
      <w:r w:rsidRPr="006159BD">
        <w:t>ottaa huomioon digitaalisten palvelujen sisämarkkinoista ja direktiivin 2000/31/EY muuttamisesta 19. lokakuuta 2022 annetun Euroopan parlamentin ja neuvoston asetuksen (EU) 2022/2065 (digipalvelusäädös)</w:t>
      </w:r>
      <w:r>
        <w:rPr>
          <w:rStyle w:val="FootnoteReference"/>
        </w:rPr>
        <w:footnoteReference w:id="2"/>
      </w:r>
      <w:r w:rsidRPr="006159BD">
        <w:t xml:space="preserve"> ja erityisesti sen säännökset, jotka koskevat alaikäisten suojelua verkossa, laittomaan sisältöön ja haitalliseen verkkokäyttäytymiseen liittyvien järjestelmäriskien arviointia ja vähentämistä, suosittelujärjestelmiä sekä erittäin suurten verkkoalustojen ja hakukoneiden vastuita,</w:t>
      </w:r>
    </w:p>
    <w:p w:rsidR="000508FA" w:rsidRPr="006159BD" w:rsidP="000508FA" w14:paraId="3EA6FEF6" w14:textId="77777777">
      <w:pPr>
        <w:pStyle w:val="NormalHanging12a"/>
        <w:widowControl/>
      </w:pPr>
      <w:r w:rsidRPr="006159BD">
        <w:rPr>
          <w:snapToGrid w:val="0"/>
        </w:rPr>
        <w:t>–</w:t>
      </w:r>
      <w:r w:rsidRPr="006159BD">
        <w:rPr>
          <w:snapToGrid w:val="0"/>
        </w:rPr>
        <w:tab/>
      </w:r>
      <w:r w:rsidRPr="006159BD">
        <w:t>ottaa huomioon 14. heinäkuuta 2025 annetut digipalvelusäädöksen mukaiset komission suuntaviivat alaikäisten suojelusta</w:t>
      </w:r>
      <w:r>
        <w:rPr>
          <w:rStyle w:val="FootnoteReference"/>
        </w:rPr>
        <w:footnoteReference w:id="3"/>
      </w:r>
      <w:r w:rsidRPr="006159BD">
        <w:t>,</w:t>
      </w:r>
    </w:p>
    <w:p w:rsidR="000508FA" w:rsidRPr="006159BD" w:rsidP="000508FA" w14:paraId="278FFCE9" w14:textId="77777777">
      <w:pPr>
        <w:pStyle w:val="NormalHanging12a"/>
        <w:widowControl/>
      </w:pPr>
      <w:r w:rsidRPr="006159BD">
        <w:rPr>
          <w:snapToGrid w:val="0"/>
        </w:rPr>
        <w:t>–</w:t>
      </w:r>
      <w:r w:rsidRPr="006159BD">
        <w:rPr>
          <w:snapToGrid w:val="0"/>
        </w:rPr>
        <w:tab/>
      </w:r>
      <w:r w:rsidRPr="006159BD">
        <w:t>ottaa huomioon 12. marraskuuta 2024 annetun Europolin tiedusteluilmoituksen ”</w:t>
      </w:r>
      <w:r w:rsidRPr="006159BD">
        <w:t>The</w:t>
      </w:r>
      <w:r w:rsidRPr="006159BD">
        <w:t xml:space="preserve"> </w:t>
      </w:r>
      <w:r w:rsidRPr="006159BD">
        <w:t>recruitment</w:t>
      </w:r>
      <w:r w:rsidRPr="006159BD">
        <w:t xml:space="preserve"> of </w:t>
      </w:r>
      <w:r w:rsidRPr="006159BD">
        <w:t>young</w:t>
      </w:r>
      <w:r w:rsidRPr="006159BD">
        <w:t xml:space="preserve"> </w:t>
      </w:r>
      <w:r w:rsidRPr="006159BD">
        <w:t>perpetrators</w:t>
      </w:r>
      <w:r w:rsidRPr="006159BD">
        <w:t xml:space="preserve"> for </w:t>
      </w:r>
      <w:r w:rsidRPr="006159BD">
        <w:t>criminal</w:t>
      </w:r>
      <w:r w:rsidRPr="006159BD">
        <w:t xml:space="preserve"> </w:t>
      </w:r>
      <w:r w:rsidRPr="006159BD">
        <w:t>networks</w:t>
      </w:r>
      <w:r w:rsidRPr="006159BD">
        <w:t>”,</w:t>
      </w:r>
    </w:p>
    <w:p w:rsidR="000508FA" w:rsidRPr="006159BD" w:rsidP="000508FA" w14:paraId="59E62C71" w14:textId="77777777">
      <w:pPr>
        <w:pStyle w:val="NormalHanging12a"/>
        <w:widowControl/>
      </w:pPr>
      <w:r w:rsidRPr="006159BD">
        <w:rPr>
          <w:snapToGrid w:val="0"/>
        </w:rPr>
        <w:t>–</w:t>
      </w:r>
      <w:r w:rsidRPr="006159BD">
        <w:rPr>
          <w:snapToGrid w:val="0"/>
        </w:rPr>
        <w:tab/>
      </w:r>
      <w:r w:rsidRPr="006159BD">
        <w:t xml:space="preserve">ottaa huomioon syyskuussa 2024 julkaistun Unicefin kansainvälisen tutkimuksen ja ennakoinnin </w:t>
      </w:r>
      <w:r w:rsidRPr="006159BD">
        <w:t>Innocenti</w:t>
      </w:r>
      <w:r w:rsidRPr="006159BD">
        <w:t>-keskuksen työasiakirjan ”</w:t>
      </w:r>
      <w:r w:rsidRPr="006159BD">
        <w:t>Children’s</w:t>
      </w:r>
      <w:r w:rsidRPr="006159BD">
        <w:t xml:space="preserve"> </w:t>
      </w:r>
      <w:r w:rsidRPr="006159BD">
        <w:t>Involvement</w:t>
      </w:r>
      <w:r w:rsidRPr="006159BD">
        <w:t xml:space="preserve"> in </w:t>
      </w:r>
      <w:r w:rsidRPr="006159BD">
        <w:t>Organised</w:t>
      </w:r>
      <w:r w:rsidRPr="006159BD">
        <w:t xml:space="preserve"> </w:t>
      </w:r>
      <w:r w:rsidRPr="006159BD">
        <w:t>Violence</w:t>
      </w:r>
      <w:r w:rsidRPr="006159BD">
        <w:t xml:space="preserve">: </w:t>
      </w:r>
      <w:r w:rsidRPr="006159BD">
        <w:t>Emerging</w:t>
      </w:r>
      <w:r w:rsidRPr="006159BD">
        <w:t xml:space="preserve"> </w:t>
      </w:r>
      <w:r w:rsidRPr="006159BD">
        <w:t>trends</w:t>
      </w:r>
      <w:r w:rsidRPr="006159BD">
        <w:t xml:space="preserve"> and </w:t>
      </w:r>
      <w:r w:rsidRPr="006159BD">
        <w:t>knowledge</w:t>
      </w:r>
      <w:r w:rsidRPr="006159BD">
        <w:t xml:space="preserve"> </w:t>
      </w:r>
      <w:r w:rsidRPr="006159BD">
        <w:t>gaps</w:t>
      </w:r>
      <w:r w:rsidRPr="006159BD">
        <w:t>”,</w:t>
      </w:r>
    </w:p>
    <w:bookmarkEnd w:id="7"/>
    <w:p w:rsidR="000508FA" w:rsidRPr="006159BD" w:rsidP="000508FA" w14:paraId="6E43D4EC" w14:textId="77777777">
      <w:pPr>
        <w:pStyle w:val="NormalHanging12a"/>
        <w:widowControl/>
        <w:rPr>
          <w:bCs/>
          <w:spacing w:val="-2"/>
        </w:rPr>
      </w:pPr>
      <w:r w:rsidRPr="006159BD">
        <w:t>–</w:t>
      </w:r>
      <w:r w:rsidRPr="006159BD">
        <w:tab/>
        <w:t>ottaa huomioon lasten oikeuksia koskevan EU:n strategian ja EU:n huumausainestrategian,</w:t>
      </w:r>
    </w:p>
    <w:p w:rsidR="000508FA" w:rsidRPr="006159BD" w:rsidP="000508FA" w14:paraId="3B4C54D3" w14:textId="77777777">
      <w:pPr>
        <w:pStyle w:val="NormalHanging12a"/>
        <w:widowControl/>
        <w:rPr>
          <w:bCs/>
          <w:spacing w:val="-2"/>
        </w:rPr>
      </w:pPr>
      <w:r w:rsidRPr="006159BD">
        <w:t>–</w:t>
      </w:r>
      <w:r w:rsidRPr="006159BD">
        <w:tab/>
        <w:t>ottaa huomioon kansalaisvapauksien sekä oikeus- ja sisäasioiden valiokunnan 4. kesäkuuta 2025 järjestämän kuulemisen ”Verkkoradikalisoituminen ja ennen kaikkea lasten värvääminen järjestäytyneen rikollisuuden ja terrorismin pariin”,</w:t>
      </w:r>
    </w:p>
    <w:p w:rsidR="000508FA" w:rsidRPr="006159BD" w:rsidP="000508FA" w14:paraId="7A5EFC7D" w14:textId="77777777">
      <w:pPr>
        <w:pStyle w:val="NormalHanging12a"/>
        <w:widowControl/>
        <w:rPr>
          <w:bCs/>
          <w:spacing w:val="-2"/>
        </w:rPr>
      </w:pPr>
      <w:r w:rsidRPr="006159BD">
        <w:t>–</w:t>
      </w:r>
      <w:r w:rsidRPr="006159BD">
        <w:tab/>
        <w:t xml:space="preserve">ottaa huomioon 20. tammikuuta 2026 antamansa päätöslauselman </w:t>
      </w:r>
      <w:r w:rsidRPr="006159BD">
        <w:t>Mehdi</w:t>
      </w:r>
      <w:r w:rsidRPr="006159BD">
        <w:t xml:space="preserve"> </w:t>
      </w:r>
      <w:r w:rsidRPr="006159BD">
        <w:t>Kessacin</w:t>
      </w:r>
      <w:r w:rsidRPr="006159BD">
        <w:t xml:space="preserve"> murhasta ja kiireellisestä tarpeesta kunnianhimoisille eurooppalaisille toimille huumausainekaupan torjumiseksi</w:t>
      </w:r>
      <w:r>
        <w:rPr>
          <w:rStyle w:val="FootnoteReference"/>
        </w:rPr>
        <w:footnoteReference w:id="4"/>
      </w:r>
    </w:p>
    <w:p w:rsidR="000508FA" w:rsidRPr="006159BD" w:rsidP="000508FA" w14:paraId="29093F72" w14:textId="77777777">
      <w:pPr>
        <w:pStyle w:val="NormalHanging12a"/>
        <w:widowControl/>
        <w:rPr>
          <w:spacing w:val="-2"/>
        </w:rPr>
      </w:pPr>
      <w:r w:rsidRPr="006159BD">
        <w:t>–</w:t>
      </w:r>
      <w:r w:rsidRPr="006159BD">
        <w:tab/>
        <w:t>ottaa huomioon 11. toukokuuta 2016 annetun Euroopan parlamentin ja neuvoston direktiivin (EU) 2016/800 rikoksesta epäiltyjä tai syytettyjä lapsia koskevista menettelytakeista rikosoikeudellisissa menettelyissä</w:t>
      </w:r>
      <w:r>
        <w:rPr>
          <w:rStyle w:val="FootnoteReference"/>
        </w:rPr>
        <w:footnoteReference w:id="5"/>
      </w:r>
      <w:r w:rsidRPr="006159BD">
        <w:t>,</w:t>
      </w:r>
    </w:p>
    <w:p w:rsidR="000508FA" w:rsidRPr="006159BD" w:rsidP="000508FA" w14:paraId="62D3D1F4" w14:textId="77777777">
      <w:pPr>
        <w:pStyle w:val="NormalHanging12a"/>
        <w:widowControl/>
      </w:pPr>
      <w:r w:rsidRPr="006159BD">
        <w:t>–</w:t>
      </w:r>
      <w:r w:rsidRPr="006159BD">
        <w:tab/>
        <w:t>ottaa huomioon työjärjestyksen 136 artiklan 2 kohdan,</w:t>
      </w:r>
    </w:p>
    <w:p w:rsidR="000508FA" w:rsidRPr="006159BD" w:rsidP="000508FA" w14:paraId="732A59CD" w14:textId="77777777">
      <w:pPr>
        <w:pStyle w:val="NormalHanging12a"/>
        <w:widowControl/>
      </w:pPr>
      <w:r w:rsidRPr="006159BD">
        <w:t>A.</w:t>
      </w:r>
      <w:r w:rsidRPr="006159BD">
        <w:rPr>
          <w:snapToGrid w:val="0"/>
        </w:rPr>
        <w:tab/>
      </w:r>
      <w:r w:rsidRPr="006159BD">
        <w:t>ottaa huomioon, että järjestäytyneet rikollis- ja terroristiryhmät värväävät ja hyväksikäyttävät yhä enemmän lapsia osana toimintastrategioitaan muun muassa suojellakseen aikuisia rikoksentekijöitä paljastumiselta ja syytteeseenpanolta ja laajentaakseen laitonta toimintaa;</w:t>
      </w:r>
    </w:p>
    <w:p w:rsidR="000508FA" w:rsidRPr="006159BD" w:rsidP="000508FA" w14:paraId="3AC3F759" w14:textId="77777777">
      <w:pPr>
        <w:pStyle w:val="NormalHanging12a"/>
        <w:widowControl/>
      </w:pPr>
      <w:r w:rsidRPr="006159BD">
        <w:rPr>
          <w:snapToGrid w:val="0"/>
        </w:rPr>
        <w:t>B.</w:t>
      </w:r>
      <w:r w:rsidRPr="006159BD">
        <w:rPr>
          <w:snapToGrid w:val="0"/>
        </w:rPr>
        <w:tab/>
      </w:r>
      <w:r w:rsidRPr="006159BD">
        <w:t>ottaa huomioon, että Europolin marraskuussa 2024 julkaisema tiedusteluilmoitus osoittaa, että rikollisverkostojen värväämillä alaikäisillä ei yleensä ole suoraa yhteyttä organisaatioiden ylempiin tasoihin ja että heidät mobilisoidaan rikollisten palvelujen tarjoajien kautta; ottaa huomioon, että nämä alaikäiset tuntevat verkostojen rakenteen heikosti ja yleensä heillä ei ole aiempaa rikosrekisteriä, mikä tekee heistä vähäriskisiä toimijoita, jotka eivät yhtä todennäköisesti anna lainvalvontaviranomaisille hyödyllisiä tietoja, jos heidät pidätetään;</w:t>
      </w:r>
    </w:p>
    <w:p w:rsidR="000508FA" w:rsidRPr="006159BD" w:rsidP="000508FA" w14:paraId="0AF4DE23" w14:textId="77777777">
      <w:pPr>
        <w:pStyle w:val="NormalHanging12a"/>
        <w:widowControl/>
      </w:pPr>
      <w:r w:rsidRPr="006159BD">
        <w:rPr>
          <w:snapToGrid w:val="0"/>
        </w:rPr>
        <w:t>C.</w:t>
      </w:r>
      <w:r w:rsidRPr="006159BD">
        <w:rPr>
          <w:snapToGrid w:val="0"/>
        </w:rPr>
        <w:tab/>
      </w:r>
      <w:r w:rsidRPr="006159BD">
        <w:t>toteaa, että järjestäytyneiden rikollis- ja terroristiryhmien harjoittama lasten värväys ja hyväksikäyttö loukkaa lasten perusoikeuksia, myös heidän ihmisarvoaan, ja sillä on vakavia seurauksia heidän turvallisuudelleen ja tulevaisuudelleen; ottaa huomioon, että lasten alttius järjestäytyneiden rikollisverkostojen värväykselle johtuu kumulatiivisista ja risteävistä riskitekijöistä, kuten yhteenkuuluvuuden tunteen puuttumisesta, haitallisista lapsuudenkokemuksista ja mielenterveyshaasteista, joita värvääjät käyttävät tarkoituksellisesti hyväksi; katsoo, että tehokas ennaltaehkäisy edellyttää yhtenäisiä toimia näihin tekijöihin puuttumiseksi;</w:t>
      </w:r>
    </w:p>
    <w:p w:rsidR="000508FA" w:rsidRPr="006159BD" w:rsidP="000508FA" w14:paraId="6EFA9F28" w14:textId="77777777">
      <w:pPr>
        <w:pStyle w:val="NormalHanging12a"/>
        <w:widowControl/>
      </w:pPr>
      <w:r w:rsidRPr="006159BD">
        <w:rPr>
          <w:snapToGrid w:val="0"/>
        </w:rPr>
        <w:t>D.</w:t>
      </w:r>
      <w:r w:rsidRPr="006159BD">
        <w:rPr>
          <w:snapToGrid w:val="0"/>
        </w:rPr>
        <w:tab/>
      </w:r>
      <w:r w:rsidRPr="006159BD">
        <w:t>katsoo, että lasten värväys on kehittynyt ensisijaisesti humanitaarisesta huolenaiheesta järjestäytyneen rikollisuuden systeemiseksi mahdollistajaksi, joka on juurtunut rikollisverkostojen toimintamalleihin ja muodostaa esteen rauhalle, turvallisuudelle ja kehitykselle; ottaa huomioon, että lapsia värväävät rikollisryhmät heikentävät EU:n turvallisuutta, ruokkivat rikollisuutta ja ylläpitävät väkivallan ja turvattomuuden kierrettä sukupolvesta toiseen;</w:t>
      </w:r>
    </w:p>
    <w:p w:rsidR="000508FA" w:rsidRPr="006159BD" w:rsidP="000508FA" w14:paraId="1FB8B573" w14:textId="77777777">
      <w:pPr>
        <w:pStyle w:val="NormalHanging12a"/>
        <w:widowControl/>
      </w:pPr>
      <w:r w:rsidRPr="006159BD">
        <w:rPr>
          <w:snapToGrid w:val="0"/>
        </w:rPr>
        <w:t>E.</w:t>
      </w:r>
      <w:r w:rsidRPr="006159BD">
        <w:rPr>
          <w:snapToGrid w:val="0"/>
        </w:rPr>
        <w:tab/>
      </w:r>
      <w:r w:rsidRPr="006159BD">
        <w:t>ottaa huomioon, että näitä käytäntöjä helpottaa tietynlainen teknologinen kehitys, joka voi normalisoida lasten rikollisen käyttäytymisen ja kannustaa siihen;</w:t>
      </w:r>
    </w:p>
    <w:p w:rsidR="000508FA" w:rsidRPr="006159BD" w:rsidP="000508FA" w14:paraId="0C15B042" w14:textId="77777777">
      <w:pPr>
        <w:pStyle w:val="NormalHanging12a"/>
        <w:widowControl/>
      </w:pPr>
      <w:r w:rsidRPr="006159BD">
        <w:rPr>
          <w:snapToGrid w:val="0"/>
        </w:rPr>
        <w:t>F.</w:t>
      </w:r>
      <w:r w:rsidRPr="006159BD">
        <w:rPr>
          <w:snapToGrid w:val="0"/>
        </w:rPr>
        <w:tab/>
      </w:r>
      <w:r w:rsidRPr="006159BD">
        <w:t>ottaa huomioon, että Europolin vuoden 2024 kartoituksessa havaittiin 821 EU:ssa toimivaa suuririskistä rikollisverkostoa, joiden vuotuiset tulot olivat arviolta 92–188 miljardia euroa, mikä on noin 0,7–1,4 prosenttia EU:n BKT:stä</w:t>
      </w:r>
      <w:r>
        <w:rPr>
          <w:rStyle w:val="FootnoteReference"/>
          <w:color w:val="000000"/>
        </w:rPr>
        <w:footnoteReference w:id="6"/>
      </w:r>
      <w:r w:rsidRPr="006159BD">
        <w:t>; ottaa huomioon, että alaikäisiä on mukana yli 70 prosentissa laittomasta markkinatoiminnasta, mukaan lukien huumekauppa, kiristäminen, verkkopetokset, rahanpesu, ampuma-aseiden laiton kauppa ja väkivalta palveluna -toimintamallit, ja että rikollisverkostot käyttävät hyväkseen jopa 12-vuotiaita lapsia esimerkiksi katukaupassa, rahakuriireina ja huumausaineiden noutamisessa konteista;</w:t>
      </w:r>
    </w:p>
    <w:p w:rsidR="000508FA" w:rsidRPr="006159BD" w:rsidP="000508FA" w14:paraId="37177F49" w14:textId="77777777">
      <w:pPr>
        <w:pStyle w:val="NormalHanging12a"/>
        <w:widowControl/>
        <w:rPr>
          <w:bCs/>
        </w:rPr>
      </w:pPr>
      <w:r w:rsidRPr="006159BD">
        <w:rPr>
          <w:snapToGrid w:val="0"/>
        </w:rPr>
        <w:t>G.</w:t>
      </w:r>
      <w:r w:rsidRPr="006159BD">
        <w:rPr>
          <w:snapToGrid w:val="0"/>
        </w:rPr>
        <w:tab/>
      </w:r>
      <w:r w:rsidRPr="006159BD">
        <w:t>toteaa, että rikollisjärjestöt ottavat järjestelmällisesti kohteekseen erittäin haavoittuvassa asemassa olevia lapsia, erityisesti sosioekonomisesti syrjäytyneitä tai koulunkäynnin keskeyttäneitä lapsia tai lapsia, joiden perheet ovat hajonneet, tai maahantulijalapsia ja käyttävät hyväkseen heidän taloudellista turvattomuuttaan, sosiaalista syrjäytymistään ja puutteellista riskitietoisuuttaan;</w:t>
      </w:r>
    </w:p>
    <w:p w:rsidR="000508FA" w:rsidRPr="006159BD" w:rsidP="000508FA" w14:paraId="1B7AECE9" w14:textId="77777777">
      <w:pPr>
        <w:pStyle w:val="NormalHanging12a"/>
        <w:widowControl/>
        <w:rPr>
          <w:bCs/>
        </w:rPr>
      </w:pPr>
      <w:r w:rsidRPr="006159BD">
        <w:rPr>
          <w:snapToGrid w:val="0"/>
        </w:rPr>
        <w:t>H.</w:t>
      </w:r>
      <w:r w:rsidRPr="006159BD">
        <w:rPr>
          <w:snapToGrid w:val="0"/>
        </w:rPr>
        <w:tab/>
      </w:r>
      <w:r w:rsidRPr="006159BD">
        <w:t>toteaa, että järjestäytyneessä rikollisuudessa on yhä enemmän mukana tyttöjä ja nuoria naisia, vaikka rikosoikeusjärjestelmät jättävät tämän usein huomiotta, ja että 22 prosenttia Länsi- ja Etelä-Euroopassa tunnistetuista ihmiskaupan uhreista on pakotettu rikolliseen toimintaan, pääasiassa huumekauppaan;</w:t>
      </w:r>
    </w:p>
    <w:p w:rsidR="000508FA" w:rsidRPr="006159BD" w:rsidP="000508FA" w14:paraId="55DF74DE" w14:textId="77777777">
      <w:pPr>
        <w:pStyle w:val="NormalHanging12a"/>
        <w:widowControl/>
      </w:pPr>
      <w:r w:rsidRPr="006159BD">
        <w:rPr>
          <w:snapToGrid w:val="0"/>
        </w:rPr>
        <w:t>I.</w:t>
      </w:r>
      <w:r w:rsidRPr="006159BD">
        <w:rPr>
          <w:snapToGrid w:val="0"/>
        </w:rPr>
        <w:tab/>
      </w:r>
      <w:r w:rsidRPr="006159BD">
        <w:t>katsoo, että ampuma-aseiden laiton kauppa ja pyroteknisten tuotteiden laiton käyttö ovat osaltaan edistäneet siirtymistä vähemmän vakavista rikoksista vakavampiin ja väkivaltaisempiin rikoksiin, joissa on osallisena alaikäisiä ja joihin liittyy myös kiristystä ja tappamisia; toteaa, että rikoksentekijöiden värvääjät voivat tarjota alaikäisille huomattavia taloudellisia kannustimia, jotka vaihtelevat muutamasta tuhannesta eurosta 20 000 euroon murhien osalta;</w:t>
      </w:r>
    </w:p>
    <w:p w:rsidR="000508FA" w:rsidRPr="006159BD" w:rsidP="000508FA" w14:paraId="78935AC3" w14:textId="77777777">
      <w:pPr>
        <w:pStyle w:val="NormalHanging12a"/>
        <w:widowControl/>
      </w:pPr>
      <w:r w:rsidRPr="006159BD">
        <w:rPr>
          <w:snapToGrid w:val="0"/>
        </w:rPr>
        <w:t>J.</w:t>
      </w:r>
      <w:r w:rsidRPr="006159BD">
        <w:rPr>
          <w:snapToGrid w:val="0"/>
        </w:rPr>
        <w:tab/>
      </w:r>
      <w:r w:rsidRPr="006159BD">
        <w:t>toteaa huumausaineisiin liittyvän uhkailun ja pakottamisen olevan ensisijainen väylä, jonka kautta järjestäytyneet rikollisverkostot värväävät ja hyväksikäyttävät lapsia hyödyntäen velkaantumista, seksuaalisin tarkoituksin houkuttelua ja väkivaltaa; katsoo, että tällaiset verkostot ovat rajat ylittäviä, joten näihin ilmiöihin ei voida puuttua riittävällä tavalla pelkästään kansallisin toimin;</w:t>
      </w:r>
    </w:p>
    <w:p w:rsidR="000508FA" w:rsidRPr="006159BD" w:rsidP="000508FA" w14:paraId="480DDD2E" w14:textId="77777777">
      <w:pPr>
        <w:pStyle w:val="NormalHanging12a"/>
        <w:widowControl/>
      </w:pPr>
      <w:r w:rsidRPr="006159BD">
        <w:rPr>
          <w:snapToGrid w:val="0"/>
        </w:rPr>
        <w:t>K.</w:t>
      </w:r>
      <w:r w:rsidRPr="006159BD">
        <w:rPr>
          <w:snapToGrid w:val="0"/>
        </w:rPr>
        <w:tab/>
      </w:r>
      <w:r w:rsidRPr="006159BD">
        <w:t xml:space="preserve">katsoo, että huumausainemarkkinoiden kasvu on nostanut alaikäisten osallistumisen hälyttävälle tasolle ja se näkyy tärkeiden logistiikkakeskusten, kuten satamien, käytön jyrkkänä kasvuna; toteaa, että järjestäytyneen rikollisuuden määritelmään ei tällä hetkellä sisälly yhtenäisiä vaikutuksia EU:n jäsenvaltioissa, mikä vaikeuttaa tietojen keräämistä ja vertailtavuutta, ja toteaa, että järjestäytyneen rikollisuuden palveluksessa toimivista alaikäisistä on saatavilla vain vähän tietoa ja tiedot ovat usein epäluotettavia </w:t>
      </w:r>
      <w:r w:rsidRPr="006159BD">
        <w:t>ja huonosti vertailukelpoisia rikosoikeudellisen vastuun eri ikärajojen ja aliraportoinnin vuoksi;</w:t>
      </w:r>
    </w:p>
    <w:p w:rsidR="000508FA" w:rsidRPr="006159BD" w:rsidP="000508FA" w14:paraId="56EB0EBE" w14:textId="77777777">
      <w:pPr>
        <w:pStyle w:val="NormalHanging12a"/>
        <w:widowControl/>
      </w:pPr>
      <w:r w:rsidRPr="006159BD">
        <w:rPr>
          <w:snapToGrid w:val="0"/>
        </w:rPr>
        <w:t>L.</w:t>
      </w:r>
      <w:r w:rsidRPr="006159BD">
        <w:rPr>
          <w:snapToGrid w:val="0"/>
        </w:rPr>
        <w:tab/>
      </w:r>
      <w:r w:rsidRPr="006159BD">
        <w:t>katsoo, että järjestäytyneiden rikollisryhmien harjoittaman lasten värväyksen perimmäisiä syitä ovat riittämättömät investoinnit julkisiin palveluihin, kuten ennaltaehkäisy-, koulutus- ja terveyspalveluihin;</w:t>
      </w:r>
    </w:p>
    <w:p w:rsidR="000508FA" w:rsidRPr="006159BD" w:rsidP="000508FA" w14:paraId="12A1717B" w14:textId="77777777">
      <w:pPr>
        <w:pStyle w:val="NormalHanging12a"/>
        <w:widowControl/>
      </w:pPr>
      <w:r w:rsidRPr="006159BD">
        <w:rPr>
          <w:snapToGrid w:val="0"/>
        </w:rPr>
        <w:t>M.</w:t>
      </w:r>
      <w:r w:rsidRPr="006159BD">
        <w:rPr>
          <w:snapToGrid w:val="0"/>
        </w:rPr>
        <w:tab/>
      </w:r>
      <w:r w:rsidRPr="006159BD">
        <w:t xml:space="preserve">toteaa, että hajanaiset institutionaaliset toimet ja riittämätön koordinointi lastensuojelujärjestelmien, oikeusviranomaisten, turvallisuusviranomaisten ja digitaalialan sääntelyviranomaisten välillä luovat aukkoja, joita rikollisryhmät hyödyntävät; ottaa huomioon, että parlamentin päätöslauselmassa </w:t>
      </w:r>
      <w:r w:rsidRPr="006159BD">
        <w:t>Mehdi</w:t>
      </w:r>
      <w:r w:rsidRPr="006159BD">
        <w:t xml:space="preserve"> </w:t>
      </w:r>
      <w:r w:rsidRPr="006159BD">
        <w:t>Kessacin</w:t>
      </w:r>
      <w:r w:rsidRPr="006159BD">
        <w:t xml:space="preserve"> murhasta Marseillessa tuomittiin se, että rikollisjengit värväävät järjestelmällisesti nuoria, ja kehotettiin tehostamaan ennaltaehkäisyä, suojelua ja syytteeseenpanoa ja tarjoamaan myös erityistä tukea alaikäisille hyväksikäytön välttämiseksi ja yhteiskuntaan sopeuttamiseksi;</w:t>
      </w:r>
    </w:p>
    <w:p w:rsidR="000508FA" w:rsidRPr="006159BD" w:rsidP="000508FA" w14:paraId="568B4915" w14:textId="77777777">
      <w:pPr>
        <w:pStyle w:val="NormalHanging12a"/>
        <w:widowControl/>
      </w:pPr>
      <w:r w:rsidRPr="006159BD">
        <w:rPr>
          <w:snapToGrid w:val="0"/>
        </w:rPr>
        <w:t>N.</w:t>
      </w:r>
      <w:r w:rsidRPr="006159BD">
        <w:rPr>
          <w:snapToGrid w:val="0"/>
        </w:rPr>
        <w:tab/>
      </w:r>
      <w:r w:rsidRPr="006159BD">
        <w:t>ottaa huomioon, että Europol perusti huhtikuussa 2025 GRIMM-nimisen operatiivisen työryhmän, joka toimii koordinoidusti teknologiayritysten kanssa tunnistaakseen toimia, joilla lapsia värvätään sosiaalisessa mediassa ja viestintäalustoilla, ja toteaa, että työryhmää johtaa Ruotsi ja siihen kuuluu poliiseja Belgiasta, Tanskasta, Suomesta, Ranskasta, Saksasta, Alankomaista ja Norjasta;</w:t>
      </w:r>
    </w:p>
    <w:p w:rsidR="000508FA" w:rsidRPr="006159BD" w:rsidP="000508FA" w14:paraId="387F9CD2" w14:textId="77777777">
      <w:pPr>
        <w:pStyle w:val="NormalHanging12a"/>
        <w:widowControl/>
      </w:pPr>
      <w:r w:rsidRPr="006159BD">
        <w:rPr>
          <w:snapToGrid w:val="0"/>
        </w:rPr>
        <w:t>O.</w:t>
      </w:r>
      <w:r w:rsidRPr="006159BD">
        <w:rPr>
          <w:snapToGrid w:val="0"/>
        </w:rPr>
        <w:tab/>
      </w:r>
      <w:r w:rsidRPr="006159BD">
        <w:t xml:space="preserve">toteaa, että EU:n sekä </w:t>
      </w:r>
      <w:r w:rsidRPr="006159BD">
        <w:t>UNODC:n</w:t>
      </w:r>
      <w:r w:rsidRPr="006159BD">
        <w:t xml:space="preserve"> STRIVE </w:t>
      </w:r>
      <w:r w:rsidRPr="006159BD">
        <w:t>Juvenile</w:t>
      </w:r>
      <w:r w:rsidRPr="006159BD">
        <w:t xml:space="preserve"> -nuorisohankkeen kaltaiset näyttöön perustuvat toimintamallit osoittavat, että ennaltaehkäisy ensin -periaatteen mukaiset, monialaiset, traumatietoiset, </w:t>
      </w:r>
      <w:r w:rsidRPr="006159BD">
        <w:t>sukupuoliresponsiiviset</w:t>
      </w:r>
      <w:r w:rsidRPr="006159BD">
        <w:t xml:space="preserve"> ja lapsikeskeiset toimet ovat vaikuttavia;</w:t>
      </w:r>
    </w:p>
    <w:p w:rsidR="000508FA" w:rsidRPr="006159BD" w:rsidP="000508FA" w14:paraId="12AFF73D" w14:textId="77777777">
      <w:pPr>
        <w:pStyle w:val="NormalHanging12a"/>
        <w:widowControl/>
      </w:pPr>
      <w:r w:rsidRPr="006159BD">
        <w:t>1.</w:t>
      </w:r>
      <w:r w:rsidRPr="006159BD">
        <w:tab/>
        <w:t>tuomitsee jyrkästi järjestäytyneiden rikollis- ja terroristiryhmien harjoittaman lasten värväämisen ja hyväksikäytön kaikissa muodoissa sekä verkossa että sen ulkopuolella;</w:t>
      </w:r>
    </w:p>
    <w:p w:rsidR="000508FA" w:rsidRPr="006159BD" w:rsidP="000508FA" w14:paraId="03AC9590" w14:textId="77777777">
      <w:pPr>
        <w:pStyle w:val="NormalHanging12a"/>
        <w:widowControl/>
        <w:rPr>
          <w:spacing w:val="-2"/>
        </w:rPr>
      </w:pPr>
      <w:r w:rsidRPr="006159BD">
        <w:t>2.</w:t>
      </w:r>
      <w:r w:rsidRPr="006159BD">
        <w:tab/>
        <w:t>toteaa lasten värväyksen olevan vakava lapsiin kohdistuva rikos ja vakava ihmisoikeusloukkaus; korostaa sen olevan Euroopan unionille kasvava sisäisen ja ulkoisen turvallisuuden uhka ja edellyttävän kokonaisvaltaista ratkaisua, jossa huomio kohdennetaan suojeluun, varhaiseen ennaltaehkäisyyn, oikeuksien saatavuuteen ja koulutuksen jatkuvuuteen ja jossa otetaan huomioon sisäinen turvallisuus, oikeus-, sosiaali- ja koulutusjärjestelmät sekä strategiat ja toimenpiteet, joilla pyritään vahvistamaan lasten suojeluympäristön kehystä sekä verkossa että sen ulkopuolella;</w:t>
      </w:r>
    </w:p>
    <w:p w:rsidR="000508FA" w:rsidRPr="006159BD" w:rsidP="000508FA" w14:paraId="0EF263D9" w14:textId="77777777">
      <w:pPr>
        <w:pStyle w:val="NormalHanging12a"/>
        <w:widowControl/>
        <w:rPr>
          <w:spacing w:val="-2"/>
        </w:rPr>
      </w:pPr>
      <w:r w:rsidRPr="006159BD">
        <w:t>3.</w:t>
      </w:r>
      <w:r w:rsidRPr="006159BD">
        <w:tab/>
        <w:t>muistuttaa, että lapsi on ennen kaikkea lapsi ja että häntä olisi kohdeltava sen mukaisesti, ja kehottaa jäsenvaltioita varmistamaan, että lapsen etu otetaan aina ensisijaisesti huomioon;</w:t>
      </w:r>
    </w:p>
    <w:p w:rsidR="000508FA" w:rsidRPr="006159BD" w:rsidP="000508FA" w14:paraId="03ED2798" w14:textId="77777777">
      <w:pPr>
        <w:pStyle w:val="NormalHanging12a"/>
        <w:widowControl/>
      </w:pPr>
      <w:r w:rsidRPr="006159BD">
        <w:t>4.</w:t>
      </w:r>
      <w:r w:rsidRPr="006159BD">
        <w:tab/>
        <w:t xml:space="preserve">kehottaa komissiota ja jäsenvaltioita määrittämään järjestäytyneiden rikollis- ja terroristiryhmien harjoittaman lasten värväyksen ehkäisemisen ja siihen vastaamisen selkeäksi painopistealaksi EU:n tulevassa toimintasuunnitelmassa lasten suojelemiseksi rikollisuudelta; kehottaa sisällyttämään tähän toimintasuunnitelmaan erityisen ennaltaehkäisyä koskevan pilarin, johon sisältyy varhaisvaroitusmekanismeja, joihin </w:t>
      </w:r>
      <w:r w:rsidRPr="006159BD">
        <w:t>osallistetaan</w:t>
      </w:r>
      <w:r w:rsidRPr="006159BD">
        <w:t xml:space="preserve"> koulut, sosiaalipalvelut ja perheet, sekä nuorisokeskeisen lähestymistavan, jossa keskitytään elämäntaitojen kehittämiseen suoran yhteisöllisen osallistumisen kautta;</w:t>
      </w:r>
    </w:p>
    <w:p w:rsidR="000508FA" w:rsidRPr="006159BD" w:rsidP="000508FA" w14:paraId="3C14A8B1" w14:textId="77777777">
      <w:pPr>
        <w:pStyle w:val="NormalHanging12a"/>
        <w:widowControl/>
        <w:rPr>
          <w:spacing w:val="-2"/>
        </w:rPr>
      </w:pPr>
      <w:r w:rsidRPr="006159BD">
        <w:t>5.</w:t>
      </w:r>
      <w:r w:rsidRPr="006159BD">
        <w:tab/>
        <w:t>kehottaa komissiota puuttumaan järjestäytyneiden rikollisryhmien harjoittamaan lasten värväykseen myös tulevassa lainsäädäntöehdotuksessa järjestäytynyttä rikollisuutta koskevien sääntöjen nykyaikaistamisesta; pyytää komissiota harkitsemaan, että tähän ehdotukseen sisällytetään erityisiä säännöksiä muun muassa lasten värväämiseen liittyvistä raskauttavista seikoista; toistaa tässä yhteydessä kehotuksensa laatia ”rikollisjärjestölle” uusi yhteinen määritelmä, jossa otetaan huomioon myös rikollisryhmien käyttämä väkivalta, korruptio tai uhkailu;</w:t>
      </w:r>
    </w:p>
    <w:p w:rsidR="000508FA" w:rsidRPr="006159BD" w:rsidP="000508FA" w14:paraId="7F986A29" w14:textId="77777777">
      <w:pPr>
        <w:pStyle w:val="NormalHanging12a"/>
        <w:widowControl/>
        <w:rPr>
          <w:spacing w:val="-2"/>
        </w:rPr>
      </w:pPr>
      <w:r w:rsidRPr="006159BD">
        <w:t>6.</w:t>
      </w:r>
      <w:r w:rsidRPr="006159BD">
        <w:tab/>
        <w:t>kehottaa komissiota julkaisemaan mahdollisimman pian lainsäädäntöehdotuksen pyroteknisiä tuotteita koskevan EU:n direktiivin</w:t>
      </w:r>
      <w:r>
        <w:rPr>
          <w:rStyle w:val="FootnoteReference"/>
        </w:rPr>
        <w:footnoteReference w:id="7"/>
      </w:r>
      <w:r w:rsidRPr="006159BD">
        <w:t xml:space="preserve"> tarkistamiseksi, jotta voidaan puuttua pyroteknisten tuotteiden käyttöön aseina, mukaan lukien haavoittuvassa asemassa olevien nuorten hyväksikäyttö; kannustaa jäsenvaltioita tehostamaan yhteistyötä Europolin ja </w:t>
      </w:r>
      <w:r w:rsidRPr="006159BD">
        <w:t>Eurojustin</w:t>
      </w:r>
      <w:r w:rsidRPr="006159BD">
        <w:t xml:space="preserve"> kanssa erityisesti satamissa, logistiikkakeskuksissa ja kaupunkialueilla, joilla on haavoittuvassa asemassa olevia yhteisöjä, jakamalla parhaita käytäntöjä ja tarjoamalla lapsia koskevaa koulutusta epäilyttävän toiminnan tunnistamisesta ja siitä ilmoittamisesta;</w:t>
      </w:r>
    </w:p>
    <w:p w:rsidR="000508FA" w:rsidRPr="006159BD" w:rsidP="000508FA" w14:paraId="152D9B43" w14:textId="77777777">
      <w:pPr>
        <w:pStyle w:val="NormalHanging12a"/>
        <w:widowControl/>
        <w:rPr>
          <w:spacing w:val="-2"/>
        </w:rPr>
      </w:pPr>
      <w:r w:rsidRPr="006159BD">
        <w:t>7.</w:t>
      </w:r>
      <w:r w:rsidRPr="006159BD">
        <w:tab/>
        <w:t>kehottaa komissiota ja jäsenvaltioita pitämään huumausaineisiin liittyvää uhkailua vakiintuneena keinona värvätä ihmisiä järjestäytyneen rikollisuuden palvelukseen; kehottaa jäsenvaltioita varmistamaan, että lasten värväystä koskeviin kansallisiin strategioihin sisällytetään selkeitä virastojen välisiä toimia huumausaineisiin liittyvän uhkailun torjumiseksi uusien parhaiden käytäntöjen mallien pohjalta;</w:t>
      </w:r>
    </w:p>
    <w:p w:rsidR="000508FA" w:rsidRPr="006159BD" w:rsidP="000508FA" w14:paraId="11AA1044" w14:textId="77777777">
      <w:pPr>
        <w:pStyle w:val="NormalHanging12a"/>
        <w:widowControl/>
        <w:rPr>
          <w:bCs/>
          <w:spacing w:val="-2"/>
        </w:rPr>
      </w:pPr>
      <w:r w:rsidRPr="006159BD">
        <w:t>8.</w:t>
      </w:r>
      <w:r w:rsidRPr="006159BD">
        <w:tab/>
        <w:t xml:space="preserve">kehottaa hyväksymään ennaltaehkäisyn etusijalle asettavan lähestymistavan sekä yhdennettyjä suojelujärjestelmiä, jotka ovat lapsikeskeisiä, </w:t>
      </w:r>
      <w:r w:rsidRPr="006159BD">
        <w:t>sukupuoliresponsiivisia</w:t>
      </w:r>
      <w:r w:rsidRPr="006159BD">
        <w:t>, traumatietoisia ja monialaisia ja joissa keskitytään riskiryhmiin kuuluvien lasten varhaiseen tunnistamiseen, yhteisöpohjaisiin toimiin sekä perheiden ja sosiaalipalvelujen vahvistamiseen; korostaa urheilun, koulutusjärjestöjen ja yhteisöorganisaatioiden myönteistä roolia turvallisten, terveellisten ja osallistavien ympäristöjen tarjoamisessa;</w:t>
      </w:r>
    </w:p>
    <w:p w:rsidR="000508FA" w:rsidRPr="006159BD" w:rsidP="000508FA" w14:paraId="443EB9A6" w14:textId="77777777">
      <w:pPr>
        <w:pStyle w:val="NormalHanging12a"/>
        <w:widowControl/>
      </w:pPr>
      <w:r w:rsidRPr="006159BD">
        <w:t>9.</w:t>
      </w:r>
      <w:r w:rsidRPr="006159BD">
        <w:tab/>
        <w:t>katsoo, että järjestäytyneen rikollisuuden rajat ylittävän luonteen tähden pelkät kansalliset lapsiin ja nuoriin kohdistettavat toimet uhrien suojelemiseksi eivät riitä; kehottaa tehostamaan yhteistyötä turvallisuus-, oikeus-, lastensuojelu-, koulutus- ja terveydenhuoltoalojen välillä sekä julkisen ja yksityisen sektorin kumppanuuksia, jotta voidaan varmistaa yhdennetyt ja monialaiset lapsia suojelevat toimintaympäristökehykset sekä verkossa että sen ulkopuolella;</w:t>
      </w:r>
    </w:p>
    <w:p w:rsidR="000508FA" w:rsidRPr="006159BD" w:rsidP="000508FA" w14:paraId="3564F0F1" w14:textId="77777777">
      <w:pPr>
        <w:pStyle w:val="NormalHanging12a"/>
        <w:widowControl/>
        <w:rPr>
          <w:spacing w:val="-2"/>
        </w:rPr>
      </w:pPr>
      <w:r w:rsidRPr="006159BD">
        <w:t>10.</w:t>
      </w:r>
      <w:r w:rsidRPr="006159BD">
        <w:tab/>
        <w:t xml:space="preserve">korostaa, että tällä hetkellä järjestäytyneet rikollis- ja terroristiryhmät käyttävät lasten värväyksessä keskeisenä toimintamallina verkkoulottuvuutta hyödyntämällä järjestelmällisesti digitaalisia palveluja lasten tunnistamiseksi, </w:t>
      </w:r>
      <w:r w:rsidRPr="006159BD">
        <w:t>maalittamiseksi</w:t>
      </w:r>
      <w:r w:rsidRPr="006159BD">
        <w:t>, seksuaalisin tarkoituksin houkuttelemiseksi, manipuloimiseksi ja pakottamiseksi; korostaa, että järjestäytyneiden rikollisverkostojen harjoittama lasten värväys verkossa aiheuttaa merkittävän lainvalvontavajeen alustojen vähäisen yhteistyön vuoksi; kehottaa komissiota ja jäsenvaltioita varmistamaan, että alustoille asetetut nykyiset velvoitteet pannaan täytäntöön;</w:t>
      </w:r>
    </w:p>
    <w:p w:rsidR="000508FA" w:rsidRPr="006159BD" w:rsidP="000508FA" w14:paraId="7C7C2D02" w14:textId="77777777">
      <w:pPr>
        <w:pStyle w:val="NormalHanging12a"/>
        <w:widowControl/>
      </w:pPr>
      <w:r w:rsidRPr="006159BD">
        <w:rPr>
          <w:snapToGrid w:val="0"/>
        </w:rPr>
        <w:t>11.</w:t>
      </w:r>
      <w:r w:rsidRPr="006159BD">
        <w:rPr>
          <w:snapToGrid w:val="0"/>
        </w:rPr>
        <w:tab/>
      </w:r>
      <w:r w:rsidRPr="006159BD">
        <w:t>kehottaa komissiota ja jäsenvaltioita varmistamaan digipalvelusäädöksen määrätietoisen, johdonmukaisen ja lapsen oikeuksia kunnioittavan täytäntöönpanon alaikäisten suojelua koskevien komission suuntaviivojen mukaisesti;</w:t>
      </w:r>
    </w:p>
    <w:p w:rsidR="000508FA" w:rsidRPr="006159BD" w:rsidP="000508FA" w14:paraId="42D78F4D" w14:textId="77777777">
      <w:pPr>
        <w:pStyle w:val="NormalHanging12a"/>
        <w:widowControl/>
      </w:pPr>
      <w:bookmarkStart w:id="8" w:name="_Hlk231893097"/>
      <w:r w:rsidRPr="006159BD">
        <w:rPr>
          <w:snapToGrid w:val="0"/>
        </w:rPr>
        <w:t>12.</w:t>
      </w:r>
      <w:r w:rsidRPr="006159BD">
        <w:rPr>
          <w:snapToGrid w:val="0"/>
        </w:rPr>
        <w:tab/>
      </w:r>
      <w:r w:rsidRPr="006159BD">
        <w:t>kehottaa komissiota varmistamaan, että EU:n digitaalilainsäädäntö pannaan kaikilta osin täytäntöön, ja lujittamaan tarvittaessa alustojen velvoitteita toteuttaa toimia lasten hyväksikäytön ja rekrytoinnin torjumiseksi sekä vahvistamaan alaikäisten suojelua verkossa tulevalla digiympäristön oikeudenmukaisuutta koskevalla säädöksellä, jolla korjataan sääntelyn puutteita muun muassa sisäänrakennetun turvallisuuden, ikätasolle sopivien oletusarvojen ja lapsiin kohdennettujen kaupallisten käytäntöjen osalta varmistaen samalla, että uudet toimenpiteet pysyvät oikeasuhteisina, näyttöön perustuvina ja johdonmukaisina laajemman digitaalisen sääntelykehyksen kanssa;</w:t>
      </w:r>
      <w:bookmarkEnd w:id="8"/>
    </w:p>
    <w:p w:rsidR="000508FA" w:rsidRPr="006159BD" w:rsidP="000508FA" w14:paraId="62A15443" w14:textId="77777777">
      <w:pPr>
        <w:pStyle w:val="NormalHanging12a"/>
        <w:widowControl/>
      </w:pPr>
      <w:r w:rsidRPr="006159BD">
        <w:rPr>
          <w:snapToGrid w:val="0"/>
        </w:rPr>
        <w:t>13.</w:t>
      </w:r>
      <w:r w:rsidRPr="006159BD">
        <w:rPr>
          <w:snapToGrid w:val="0"/>
        </w:rPr>
        <w:tab/>
      </w:r>
      <w:r w:rsidRPr="006159BD">
        <w:t xml:space="preserve">korostaa kasvavaa uhkaa, joka aiheutuu tilausrikollisuudesta, mukaan lukien palveluna myytävästä väkivallasta, jossa nuoria värvätään verkossa väkivaltaisiin tehtäviin; on tyytyväinen Europolin operatiiviseen GRIMM-työryhmään ja kehottaa jäsenvaltioita, Europolia ja </w:t>
      </w:r>
      <w:r w:rsidRPr="006159BD">
        <w:t>Eurojustia</w:t>
      </w:r>
      <w:r w:rsidRPr="006159BD">
        <w:t xml:space="preserve"> tehostamaan yhteisiä tutkimuksia, jotka kohdistuvat rekrytoijiin, yllyttäjiin ja korkean tason toimijoihin, sen sijaan, että lainvalvontatoimet rajoitettaisiin rikoksiin syyllistyviin alaikäisiin;</w:t>
      </w:r>
    </w:p>
    <w:p w:rsidR="000508FA" w:rsidRPr="006159BD" w:rsidP="000508FA" w14:paraId="622A7FA1" w14:textId="7AD47AE2">
      <w:pPr>
        <w:pStyle w:val="NormalHanging12a"/>
        <w:widowControl/>
      </w:pPr>
      <w:r w:rsidRPr="006159BD">
        <w:rPr>
          <w:snapToGrid w:val="0"/>
        </w:rPr>
        <w:t>14.</w:t>
      </w:r>
      <w:r w:rsidRPr="006159BD">
        <w:rPr>
          <w:snapToGrid w:val="0"/>
        </w:rPr>
        <w:tab/>
      </w:r>
      <w:r w:rsidRPr="006159BD">
        <w:t xml:space="preserve">korostaa, että rikolliseen toimintaan värvättyjä lapsia on </w:t>
      </w:r>
      <w:r w:rsidRPr="006159BD" w:rsidR="007E447D">
        <w:t xml:space="preserve">kohdeltava </w:t>
      </w:r>
      <w:r w:rsidRPr="006159BD">
        <w:t>kansainvälisten normien mukaisesti; muistuttaa, että väkivaltaisten ryhmien toimintaan osallistuminen perustuu usein ennemminkin asteittaiseen pakottamiseen ja ryhmädynamiikkaan kuin ideologiseen sitoutumiseen;</w:t>
      </w:r>
    </w:p>
    <w:p w:rsidR="007E447D" w:rsidRPr="006159BD" w:rsidP="000508FA" w14:paraId="466204DC" w14:textId="38C8634F">
      <w:pPr>
        <w:pStyle w:val="NormalHanging12a"/>
        <w:widowControl/>
      </w:pPr>
      <w:r w:rsidRPr="006159BD">
        <w:t>15</w:t>
      </w:r>
      <w:r w:rsidRPr="006159BD">
        <w:t>.</w:t>
      </w:r>
      <w:r w:rsidRPr="006159BD">
        <w:tab/>
        <w:t>korostaa, että on aina otettava asianmukaisesti huomioon kunkin tapauksen yksilölliset olosuhteet, mukaan lukien pakottaminen tai hyväksikäyttö, sekä tehdyn rikoksen vakavuus, rikoksentekijän yleiselle turvallisuudelle aiheuttaman riskin taso sekä sovellettava EU:n ja kansallinen lainsäädäntö;</w:t>
      </w:r>
    </w:p>
    <w:p w:rsidR="000508FA" w:rsidRPr="006159BD" w:rsidP="000508FA" w14:paraId="136F35E8" w14:textId="5AC56A40">
      <w:pPr>
        <w:pStyle w:val="NormalHanging12a"/>
        <w:widowControl/>
      </w:pPr>
      <w:r w:rsidRPr="006159BD">
        <w:rPr>
          <w:snapToGrid w:val="0"/>
        </w:rPr>
        <w:t>1</w:t>
      </w:r>
      <w:r w:rsidRPr="006159BD" w:rsidR="00B90742">
        <w:rPr>
          <w:snapToGrid w:val="0"/>
        </w:rPr>
        <w:t>6</w:t>
      </w:r>
      <w:r w:rsidRPr="006159BD">
        <w:rPr>
          <w:snapToGrid w:val="0"/>
        </w:rPr>
        <w:t>.</w:t>
      </w:r>
      <w:r w:rsidRPr="006159BD">
        <w:rPr>
          <w:snapToGrid w:val="0"/>
        </w:rPr>
        <w:tab/>
      </w:r>
      <w:r w:rsidRPr="006159BD">
        <w:t xml:space="preserve">vaatii lapsiystävällisiä, </w:t>
      </w:r>
      <w:r w:rsidRPr="006159BD">
        <w:t>sukupuoliresponsiivisia</w:t>
      </w:r>
      <w:r w:rsidRPr="006159BD">
        <w:t xml:space="preserve"> ja traumatietoisia oikeusjärjestelmiä sekä räätälöityjä, monialaisia ja traumatietoisia sopeuttamisohjelmia, joissa otetaan huomioon myös koulutuksen, mielenterveystuen ja psykososiaalisen tuen sekä toipumis- ja kuntoutuspalvelujen saatavuus, suojelu kostotoimilta, myös perheille, väylät ihmisarvoiseen työhön ja toimenpiteet leimautumisen ja toistuvan värväämisen ehkäisemiseksi; muistuttaa, että direktiivin (EU) 2016/800 mukaan lapsen vapaudenriistoon, erityisesti tutkintavankeuteen, olisi turvauduttava vasta viimeisenä keinona ja että jäsenvaltioiden toimivaltaisten viranomaisten olisi mahdollisuuksien mukaan turvauduttava vaihtoehtoisiin toimenpiteisiin; toteaa, että joissakin jäsenvaltioissa korjaava oikeus on osoittautunut tehokkaaksi;</w:t>
      </w:r>
    </w:p>
    <w:p w:rsidR="000508FA" w:rsidRPr="006159BD" w:rsidP="000508FA" w14:paraId="2C73C6C5" w14:textId="49EAEF98">
      <w:pPr>
        <w:pStyle w:val="NormalHanging12a"/>
        <w:widowControl/>
      </w:pPr>
      <w:r w:rsidRPr="006159BD">
        <w:rPr>
          <w:snapToGrid w:val="0"/>
        </w:rPr>
        <w:t>1</w:t>
      </w:r>
      <w:r w:rsidRPr="006159BD" w:rsidR="00B90742">
        <w:rPr>
          <w:snapToGrid w:val="0"/>
        </w:rPr>
        <w:t>7</w:t>
      </w:r>
      <w:r w:rsidRPr="006159BD">
        <w:rPr>
          <w:snapToGrid w:val="0"/>
        </w:rPr>
        <w:t>.</w:t>
      </w:r>
      <w:r w:rsidRPr="006159BD">
        <w:rPr>
          <w:snapToGrid w:val="0"/>
        </w:rPr>
        <w:tab/>
      </w:r>
      <w:r w:rsidRPr="006159BD">
        <w:t xml:space="preserve">kehottaa jäsenvaltioita parantamaan </w:t>
      </w:r>
      <w:r w:rsidRPr="006159BD">
        <w:t>yhteentoimivaa</w:t>
      </w:r>
      <w:r w:rsidRPr="006159BD">
        <w:t xml:space="preserve"> ja monialaista tiedonkeruuta lasten värväämisestä järjestäytyneisiin rikollis- ja terroristiryhmiin ja tämän tiedon jakamista, mukaan lukien eritellyt ja yhdenmukaistetut EU:n laajuiset tiedot, jotta voidaan ymmärtää paremmin suuntauksia ja riskitekijöitä; korostaa, että lapsia koskevien tietojen keräämisessä, käsittelyssä tai jakamisessa on noudatettava kaikilta osin tietosuojasääntöjä ja syrjimättömyyden periaatetta;</w:t>
      </w:r>
    </w:p>
    <w:p w:rsidR="000508FA" w:rsidRPr="006159BD" w:rsidP="000508FA" w14:paraId="709D43F6" w14:textId="7AFAF2B1">
      <w:pPr>
        <w:pStyle w:val="NormalHanging12a"/>
        <w:widowControl/>
      </w:pPr>
      <w:r w:rsidRPr="006159BD">
        <w:rPr>
          <w:snapToGrid w:val="0"/>
        </w:rPr>
        <w:t>1</w:t>
      </w:r>
      <w:r w:rsidRPr="006159BD" w:rsidR="00B90742">
        <w:rPr>
          <w:snapToGrid w:val="0"/>
        </w:rPr>
        <w:t>8</w:t>
      </w:r>
      <w:r w:rsidRPr="006159BD">
        <w:rPr>
          <w:snapToGrid w:val="0"/>
        </w:rPr>
        <w:t>.</w:t>
      </w:r>
      <w:r w:rsidRPr="006159BD">
        <w:rPr>
          <w:snapToGrid w:val="0"/>
        </w:rPr>
        <w:tab/>
      </w:r>
      <w:r w:rsidRPr="006159BD">
        <w:t xml:space="preserve">tukee menestyksekkäiden näyttöön perustuvien aloitteiden, kuten EU:n ja </w:t>
      </w:r>
      <w:r w:rsidRPr="006159BD">
        <w:t>UNODC:n</w:t>
      </w:r>
      <w:r w:rsidRPr="006159BD">
        <w:t xml:space="preserve"> STRIVE </w:t>
      </w:r>
      <w:r w:rsidRPr="006159BD">
        <w:t>Juvenile</w:t>
      </w:r>
      <w:r w:rsidRPr="006159BD">
        <w:t xml:space="preserve"> -nuorisohankkeen ja sen strategisen seuraajan EU:n ja </w:t>
      </w:r>
      <w:r w:rsidRPr="006159BD">
        <w:t>UNODC:n</w:t>
      </w:r>
      <w:r w:rsidRPr="006159BD">
        <w:t xml:space="preserve"> </w:t>
      </w:r>
      <w:r w:rsidRPr="006159BD">
        <w:t>Protecting</w:t>
      </w:r>
      <w:r w:rsidRPr="006159BD">
        <w:t xml:space="preserve"> </w:t>
      </w:r>
      <w:r w:rsidRPr="006159BD">
        <w:t>Futures</w:t>
      </w:r>
      <w:r w:rsidRPr="006159BD">
        <w:t xml:space="preserve"> -aloitteen laajentamista myös epävakaissa ja konfliktitilanteissa;</w:t>
      </w:r>
    </w:p>
    <w:p w:rsidR="000508FA" w:rsidRPr="006159BD" w:rsidP="000508FA" w14:paraId="5C4530BF" w14:textId="2ED33F8D">
      <w:pPr>
        <w:pStyle w:val="NormalHanging12a"/>
        <w:widowControl/>
      </w:pPr>
      <w:r w:rsidRPr="006159BD">
        <w:rPr>
          <w:snapToGrid w:val="0"/>
        </w:rPr>
        <w:t>1</w:t>
      </w:r>
      <w:r w:rsidRPr="006159BD" w:rsidR="00B90742">
        <w:rPr>
          <w:snapToGrid w:val="0"/>
        </w:rPr>
        <w:t>9</w:t>
      </w:r>
      <w:r w:rsidRPr="006159BD">
        <w:rPr>
          <w:snapToGrid w:val="0"/>
        </w:rPr>
        <w:t>.</w:t>
      </w:r>
      <w:r w:rsidRPr="006159BD">
        <w:rPr>
          <w:snapToGrid w:val="0"/>
        </w:rPr>
        <w:tab/>
      </w:r>
      <w:r w:rsidRPr="006159BD">
        <w:t>kehottaa tekemään tiiviimpää yhteistyötä kumppanimaiden kanssa rajat ylittäviin värväysverkostoihin puuttumiseksi ja rikollisen hyväksikäytön ulkoistamisen ehkäisemiseksi;</w:t>
      </w:r>
    </w:p>
    <w:p w:rsidR="000508FA" w:rsidRPr="006159BD" w:rsidP="000508FA" w14:paraId="656BFD4E" w14:textId="7CAA316F">
      <w:pPr>
        <w:pStyle w:val="NormalHanging12a"/>
        <w:widowControl/>
      </w:pPr>
      <w:r w:rsidRPr="006159BD">
        <w:rPr>
          <w:snapToGrid w:val="0"/>
        </w:rPr>
        <w:t>20</w:t>
      </w:r>
      <w:r w:rsidRPr="006159BD">
        <w:rPr>
          <w:snapToGrid w:val="0"/>
        </w:rPr>
        <w:t>.</w:t>
      </w:r>
      <w:r w:rsidRPr="006159BD">
        <w:rPr>
          <w:snapToGrid w:val="0"/>
        </w:rPr>
        <w:tab/>
      </w:r>
      <w:r w:rsidRPr="006159BD">
        <w:t>korostaa, että tällaisessa yhteistyössä on kiinnitettävä erityistä huomiota erityisen haavoittuvassa asemassa oleviin lapsiin, mukaan lukien ilman huoltajaa olevat lapset ja muuttajalapset, ja varmistettava turvallisten ilmoituskanavien, holhouksen, oikeusavun ja oikeuksiin perustuvien rajat ylittävien lastensuojelumekanismien saatavuus;</w:t>
      </w:r>
    </w:p>
    <w:p w:rsidR="000508FA" w:rsidRPr="006159BD" w:rsidP="000508FA" w14:paraId="7AE18514" w14:textId="709D4B42">
      <w:pPr>
        <w:pStyle w:val="NormalHanging12a"/>
        <w:widowControl/>
      </w:pPr>
      <w:r w:rsidRPr="006159BD">
        <w:rPr>
          <w:snapToGrid w:val="0"/>
        </w:rPr>
        <w:t>2</w:t>
      </w:r>
      <w:r w:rsidRPr="006159BD" w:rsidR="00B90742">
        <w:rPr>
          <w:snapToGrid w:val="0"/>
        </w:rPr>
        <w:t>1</w:t>
      </w:r>
      <w:r w:rsidRPr="006159BD">
        <w:rPr>
          <w:snapToGrid w:val="0"/>
        </w:rPr>
        <w:t>.</w:t>
      </w:r>
      <w:r w:rsidRPr="006159BD">
        <w:rPr>
          <w:snapToGrid w:val="0"/>
        </w:rPr>
        <w:tab/>
      </w:r>
      <w:r w:rsidRPr="006159BD">
        <w:t>korostaa, että on tärkeää puuttua perimmäisiin syihin, kuten köyhyyteen, eriarvoisuuteen, syrjäytymiseen, koulutuksen puutteeseen, väkivallalle altistumiseen ja julkisiin palveluihin tehtäviin liian vähäisiin investointeihin; kehottaa komissiota ja jäsenvaltioita lisäämään taloudellista tukea kansalaisyhteiskunnan järjestöille, yhteisöpohjaisille aloitteille, urheilujärjestöille ja koulutusohjelmille aloilla, jotka ovat altteimpia järjestäytyneeseen rikollisuuteen liittyvälle värväykselle, ja tarjoamaan uskottavia vaihtoehtoja rikollisille väylille;</w:t>
      </w:r>
    </w:p>
    <w:p w:rsidR="000508FA" w:rsidRPr="006159BD" w:rsidP="000508FA" w14:paraId="38BB581D" w14:textId="201FA1D1">
      <w:pPr>
        <w:pStyle w:val="NormalHanging12a"/>
        <w:widowControl/>
      </w:pPr>
      <w:r w:rsidRPr="006159BD">
        <w:rPr>
          <w:snapToGrid w:val="0"/>
        </w:rPr>
        <w:t>2</w:t>
      </w:r>
      <w:r w:rsidRPr="006159BD" w:rsidR="00B90742">
        <w:rPr>
          <w:snapToGrid w:val="0"/>
        </w:rPr>
        <w:t>2</w:t>
      </w:r>
      <w:r w:rsidRPr="006159BD">
        <w:rPr>
          <w:snapToGrid w:val="0"/>
        </w:rPr>
        <w:t>.</w:t>
      </w:r>
      <w:r w:rsidRPr="006159BD">
        <w:rPr>
          <w:snapToGrid w:val="0"/>
        </w:rPr>
        <w:tab/>
      </w:r>
      <w:r w:rsidRPr="006159BD">
        <w:t xml:space="preserve">on erityisen huolissaan siitä, että järjestäytyneiden rikollisverkostojen harjoittamat </w:t>
      </w:r>
      <w:r w:rsidRPr="006159BD">
        <w:t>maalittaminen</w:t>
      </w:r>
      <w:r w:rsidRPr="006159BD">
        <w:t xml:space="preserve"> ja hyväksikäyttö kohdistuvat suhteettomasti tyttöihin ja nuoriin naisiin, joihin kohdistetaan muun muassa seksuaalisin tarkoituksin houkuttelua, ihmiskauppaa ja seksuaalista hyväksikäyttöä; korostaa, että tyttöjen on erityisen vaikeaa välttää rikollista pakottamista ja saada oikeussuojaa ja saada mahdollisuus toipua ja </w:t>
      </w:r>
      <w:r w:rsidRPr="006159BD">
        <w:t>uudelleensopeutua</w:t>
      </w:r>
      <w:r w:rsidRPr="006159BD">
        <w:t xml:space="preserve">, ja kehottaa jäsenvaltioita varmistamaan, että kaikki ennaltaehkäisy-, suojelu- ja tukitoimenpiteet ovat </w:t>
      </w:r>
      <w:r w:rsidRPr="006159BD">
        <w:t>sukupuoliresponsiivisia</w:t>
      </w:r>
      <w:r w:rsidRPr="006159BD">
        <w:t xml:space="preserve"> ja niissä puututaan erityisesti tyttöjen haavoittuvuuksiin ja tarpeisiin; muistuttaa tässä yhteydessä ihmiskaupan vastaisessa direktiivissä</w:t>
      </w:r>
      <w:r>
        <w:rPr>
          <w:rStyle w:val="FootnoteReference"/>
        </w:rPr>
        <w:footnoteReference w:id="8"/>
      </w:r>
      <w:r w:rsidRPr="006159BD">
        <w:t xml:space="preserve"> säädetyistä velvoitteista;</w:t>
      </w:r>
    </w:p>
    <w:p w:rsidR="000508FA" w:rsidRPr="006159BD" w:rsidP="000508FA" w14:paraId="06301027" w14:textId="7D8A0260">
      <w:pPr>
        <w:pStyle w:val="NormalHanging12a"/>
        <w:widowControl/>
      </w:pPr>
      <w:r w:rsidRPr="006159BD">
        <w:rPr>
          <w:snapToGrid w:val="0"/>
        </w:rPr>
        <w:t>2</w:t>
      </w:r>
      <w:r w:rsidRPr="006159BD" w:rsidR="00B90742">
        <w:rPr>
          <w:snapToGrid w:val="0"/>
        </w:rPr>
        <w:t>3</w:t>
      </w:r>
      <w:r w:rsidRPr="006159BD">
        <w:rPr>
          <w:snapToGrid w:val="0"/>
        </w:rPr>
        <w:t>.</w:t>
      </w:r>
      <w:r w:rsidRPr="006159BD">
        <w:rPr>
          <w:snapToGrid w:val="0"/>
        </w:rPr>
        <w:tab/>
      </w:r>
      <w:r w:rsidRPr="006159BD">
        <w:t>kehottaa komissiota ja jäsenvaltioita osoittamaan riittävästi rahoitusta asiaankuuluvista EU:n ohjelmista, jotta järjestäytyneiden rikollis- ja terroristiryhmien harjoittamaa lasten värväystä voidaan ehkäistä ja jotta siihen voidaan vastata tehokkaasti, ja erityisesti tukemaan vihjepuhelinverkostoa, jossa otetaan vastaan vihjeitä 116 000 kadonneesta lapsesta, sillä se on eri virastojen keskeinen kumppani vaarassa olevien lasten tunnistamisessa;</w:t>
      </w:r>
    </w:p>
    <w:p w:rsidR="00E365E1" w:rsidRPr="006159BD" w:rsidP="00DF11BF" w14:paraId="2F28E31D" w14:textId="6B9EF663">
      <w:pPr>
        <w:pStyle w:val="NormalHanging12a"/>
        <w:widowControl/>
      </w:pPr>
      <w:r w:rsidRPr="006159BD">
        <w:rPr>
          <w:snapToGrid w:val="0"/>
        </w:rPr>
        <w:t>2</w:t>
      </w:r>
      <w:r w:rsidRPr="006159BD" w:rsidR="00B90742">
        <w:rPr>
          <w:snapToGrid w:val="0"/>
        </w:rPr>
        <w:t>4</w:t>
      </w:r>
      <w:r w:rsidRPr="006159BD">
        <w:rPr>
          <w:snapToGrid w:val="0"/>
        </w:rPr>
        <w:t>.</w:t>
      </w:r>
      <w:r w:rsidRPr="006159BD">
        <w:rPr>
          <w:snapToGrid w:val="0"/>
        </w:rPr>
        <w:tab/>
      </w:r>
      <w:r w:rsidRPr="006159BD">
        <w:t>kehottaa puhemiestä välittämään tämän päätöslauselman neuvostolle, komissiolle sekä jäsenvaltioiden hallituksille ja parlamenteille, Europolille ja YK:n huumeiden ja rikollisuuden torjunnasta vastaavalle toimistolle.</w:t>
      </w:r>
    </w:p>
    <w:sectPr w:rsidSect="0046315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A0A64" w:rsidRPr="0046315E" w14:paraId="2B37042A" w14:textId="77777777">
      <w:r w:rsidRPr="0046315E">
        <w:separator/>
      </w:r>
    </w:p>
  </w:footnote>
  <w:footnote w:type="continuationSeparator" w:id="1">
    <w:p w:rsidR="001A0A64" w:rsidRPr="0046315E" w14:paraId="4E927DCF" w14:textId="77777777">
      <w:r w:rsidRPr="0046315E">
        <w:continuationSeparator/>
      </w:r>
    </w:p>
  </w:footnote>
  <w:footnote w:id="2">
    <w:p w:rsidR="000508FA" w:rsidRPr="0046315E" w:rsidP="0046315E" w14:paraId="7A49EC83" w14:textId="5C4797AC">
      <w:pPr>
        <w:pStyle w:val="FootnoteText"/>
        <w:ind w:left="567" w:hanging="567"/>
        <w:rPr>
          <w:sz w:val="24"/>
          <w:lang w:val="fi-FI"/>
        </w:rPr>
      </w:pPr>
      <w:r w:rsidRPr="0046315E">
        <w:rPr>
          <w:rStyle w:val="FootnoteReference"/>
          <w:sz w:val="24"/>
          <w:lang w:val="fi-FI"/>
        </w:rPr>
        <w:footnoteRef/>
      </w:r>
      <w:r w:rsidRPr="0046315E" w:rsidR="0046315E">
        <w:rPr>
          <w:sz w:val="24"/>
          <w:lang w:val="fi-FI"/>
        </w:rPr>
        <w:t xml:space="preserve"> </w:t>
      </w:r>
      <w:r w:rsidRPr="0046315E" w:rsidR="0046315E">
        <w:rPr>
          <w:sz w:val="24"/>
          <w:lang w:val="fi-FI"/>
        </w:rPr>
        <w:tab/>
      </w:r>
      <w:r w:rsidRPr="0046315E">
        <w:rPr>
          <w:sz w:val="24"/>
          <w:lang w:val="fi-FI"/>
        </w:rPr>
        <w:t xml:space="preserve">EUVL L 277, 27.10.2022, s. 1, ELI: </w:t>
      </w:r>
      <w:hyperlink r:id="rId1" w:history="1">
        <w:r w:rsidR="00DF11BF">
          <w:rPr>
            <w:rStyle w:val="Hyperlink"/>
            <w:sz w:val="24"/>
            <w:lang w:val="fi-FI"/>
          </w:rPr>
          <w:t>http://data.europa.eu/eli/reg/2022/2065/oj</w:t>
        </w:r>
      </w:hyperlink>
      <w:r w:rsidRPr="0046315E">
        <w:rPr>
          <w:sz w:val="24"/>
          <w:lang w:val="fi-FI"/>
        </w:rPr>
        <w:t>.</w:t>
      </w:r>
    </w:p>
  </w:footnote>
  <w:footnote w:id="3">
    <w:p w:rsidR="000508FA" w:rsidRPr="0046315E" w:rsidP="0046315E" w14:paraId="01036896" w14:textId="0C0BE7AF">
      <w:pPr>
        <w:pStyle w:val="FootnoteText"/>
        <w:ind w:left="567" w:hanging="567"/>
        <w:rPr>
          <w:sz w:val="24"/>
          <w:lang w:val="fi-FI"/>
        </w:rPr>
      </w:pPr>
      <w:r w:rsidRPr="0046315E">
        <w:rPr>
          <w:rStyle w:val="FootnoteReference"/>
          <w:sz w:val="24"/>
          <w:szCs w:val="16"/>
          <w:lang w:val="fi-FI"/>
        </w:rPr>
        <w:footnoteRef/>
      </w:r>
      <w:r w:rsidRPr="0046315E" w:rsidR="0046315E">
        <w:rPr>
          <w:sz w:val="24"/>
          <w:lang w:val="fi-FI"/>
        </w:rPr>
        <w:t xml:space="preserve"> </w:t>
      </w:r>
      <w:r w:rsidRPr="0046315E" w:rsidR="0046315E">
        <w:rPr>
          <w:sz w:val="24"/>
          <w:lang w:val="fi-FI"/>
        </w:rPr>
        <w:tab/>
      </w:r>
      <w:r w:rsidRPr="0046315E">
        <w:rPr>
          <w:sz w:val="24"/>
          <w:lang w:val="fi-FI"/>
        </w:rPr>
        <w:t xml:space="preserve">EUVL C, C/2025/5519, 10.10.2025, ELI: </w:t>
      </w:r>
      <w:hyperlink r:id="rId2" w:history="1">
        <w:r w:rsidR="00DF11BF">
          <w:rPr>
            <w:rStyle w:val="Hyperlink"/>
            <w:sz w:val="24"/>
            <w:lang w:val="fi-FI"/>
          </w:rPr>
          <w:t>http://data.europa.eu/eli/C/2025/5519/oj</w:t>
        </w:r>
      </w:hyperlink>
      <w:r w:rsidRPr="0046315E">
        <w:rPr>
          <w:sz w:val="24"/>
          <w:lang w:val="fi-FI"/>
        </w:rPr>
        <w:t xml:space="preserve">. </w:t>
      </w:r>
    </w:p>
  </w:footnote>
  <w:footnote w:id="4">
    <w:p w:rsidR="000508FA" w:rsidRPr="0046315E" w:rsidP="0046315E" w14:paraId="7ACFF3DE" w14:textId="0C37ED6B">
      <w:pPr>
        <w:pStyle w:val="FootnoteText"/>
        <w:ind w:left="567" w:hanging="567"/>
        <w:rPr>
          <w:sz w:val="24"/>
          <w:lang w:val="fi-FI"/>
        </w:rPr>
      </w:pPr>
      <w:r w:rsidRPr="0046315E">
        <w:rPr>
          <w:rStyle w:val="FootnoteReference"/>
          <w:sz w:val="24"/>
          <w:lang w:val="fi-FI"/>
        </w:rPr>
        <w:footnoteRef/>
      </w:r>
      <w:r w:rsidRPr="0046315E" w:rsidR="0046315E">
        <w:rPr>
          <w:sz w:val="24"/>
          <w:lang w:val="fi-FI"/>
        </w:rPr>
        <w:t xml:space="preserve"> </w:t>
      </w:r>
      <w:r w:rsidRPr="0046315E" w:rsidR="0046315E">
        <w:rPr>
          <w:sz w:val="24"/>
          <w:lang w:val="fi-FI"/>
        </w:rPr>
        <w:tab/>
      </w:r>
      <w:r w:rsidRPr="0046315E">
        <w:rPr>
          <w:sz w:val="24"/>
          <w:lang w:val="fi-FI"/>
        </w:rPr>
        <w:t>Hyväksytyt tekstit, P10_TA(2026)0007.</w:t>
      </w:r>
    </w:p>
  </w:footnote>
  <w:footnote w:id="5">
    <w:p w:rsidR="000508FA" w:rsidRPr="0046315E" w:rsidP="0046315E" w14:paraId="16CB8064" w14:textId="453298DD">
      <w:pPr>
        <w:pStyle w:val="FootnoteText"/>
        <w:ind w:left="567" w:hanging="567"/>
        <w:rPr>
          <w:sz w:val="24"/>
          <w:lang w:val="fi-FI"/>
        </w:rPr>
      </w:pPr>
      <w:r w:rsidRPr="0046315E">
        <w:rPr>
          <w:rStyle w:val="FootnoteReference"/>
          <w:sz w:val="24"/>
          <w:lang w:val="fi-FI"/>
        </w:rPr>
        <w:footnoteRef/>
      </w:r>
      <w:r w:rsidRPr="0046315E" w:rsidR="0046315E">
        <w:rPr>
          <w:sz w:val="24"/>
          <w:lang w:val="fi-FI"/>
        </w:rPr>
        <w:t xml:space="preserve"> </w:t>
      </w:r>
      <w:r w:rsidRPr="0046315E" w:rsidR="0046315E">
        <w:rPr>
          <w:sz w:val="24"/>
          <w:lang w:val="fi-FI"/>
        </w:rPr>
        <w:tab/>
      </w:r>
      <w:r w:rsidRPr="0046315E">
        <w:rPr>
          <w:sz w:val="24"/>
          <w:lang w:val="fi-FI"/>
        </w:rPr>
        <w:t xml:space="preserve">EUVL L 132, 21.5.2016, s. 1, ELI: </w:t>
      </w:r>
      <w:hyperlink r:id="rId3" w:history="1">
        <w:r w:rsidR="00DF11BF">
          <w:rPr>
            <w:rStyle w:val="Hyperlink"/>
            <w:sz w:val="24"/>
            <w:lang w:val="fi-FI"/>
          </w:rPr>
          <w:t>http://data.europa.eu/eli/dir/2016/800/oj</w:t>
        </w:r>
      </w:hyperlink>
      <w:r w:rsidRPr="0046315E">
        <w:rPr>
          <w:sz w:val="24"/>
          <w:lang w:val="fi-FI"/>
        </w:rPr>
        <w:t>.</w:t>
      </w:r>
    </w:p>
  </w:footnote>
  <w:footnote w:id="6">
    <w:p w:rsidR="000508FA" w:rsidRPr="00FE0820" w:rsidP="0046315E" w14:paraId="18093B32" w14:textId="4BF2A262">
      <w:pPr>
        <w:pStyle w:val="FootnoteText"/>
        <w:ind w:left="567" w:hanging="567"/>
        <w:rPr>
          <w:sz w:val="24"/>
          <w:lang w:val="en-GB"/>
        </w:rPr>
      </w:pPr>
      <w:r w:rsidRPr="0046315E">
        <w:rPr>
          <w:rStyle w:val="FootnoteReference"/>
          <w:sz w:val="24"/>
          <w:lang w:val="fi-FI"/>
        </w:rPr>
        <w:footnoteRef/>
      </w:r>
      <w:r w:rsidRPr="00FE0820" w:rsidR="0046315E">
        <w:rPr>
          <w:sz w:val="24"/>
          <w:lang w:val="en-GB"/>
        </w:rPr>
        <w:t xml:space="preserve"> </w:t>
      </w:r>
      <w:r w:rsidRPr="00FE0820" w:rsidR="0046315E">
        <w:rPr>
          <w:sz w:val="24"/>
          <w:lang w:val="en-GB"/>
        </w:rPr>
        <w:tab/>
      </w:r>
      <w:r w:rsidRPr="00FE0820">
        <w:rPr>
          <w:sz w:val="24"/>
          <w:lang w:val="en-GB"/>
        </w:rPr>
        <w:t>Europolin raportti ”Decoding the EU’s most threatening criminal networks”, 4. huhtikuuta 2024, päivitetty toukokuussa 2026.</w:t>
      </w:r>
    </w:p>
  </w:footnote>
  <w:footnote w:id="7">
    <w:p w:rsidR="000508FA" w:rsidRPr="0046315E" w:rsidP="0046315E" w14:paraId="3530AFDA" w14:textId="0D398D1B">
      <w:pPr>
        <w:pStyle w:val="FootnoteText"/>
        <w:ind w:left="567" w:hanging="567"/>
        <w:rPr>
          <w:sz w:val="24"/>
          <w:lang w:val="fi-FI"/>
        </w:rPr>
      </w:pPr>
      <w:r w:rsidRPr="0046315E">
        <w:rPr>
          <w:rStyle w:val="FootnoteReference"/>
          <w:sz w:val="24"/>
          <w:lang w:val="fi-FI"/>
        </w:rPr>
        <w:footnoteRef/>
      </w:r>
      <w:r w:rsidRPr="0046315E" w:rsidR="0046315E">
        <w:rPr>
          <w:sz w:val="24"/>
          <w:lang w:val="fi-FI"/>
        </w:rPr>
        <w:t xml:space="preserve"> </w:t>
      </w:r>
      <w:r w:rsidRPr="0046315E" w:rsidR="0046315E">
        <w:rPr>
          <w:sz w:val="24"/>
          <w:lang w:val="fi-FI"/>
        </w:rPr>
        <w:tab/>
      </w:r>
      <w:r w:rsidRPr="0046315E">
        <w:rPr>
          <w:sz w:val="24"/>
          <w:lang w:val="fi-FI"/>
        </w:rPr>
        <w:t xml:space="preserve">Euroopan parlamentin ja neuvoston direktiivi 2013/29/EU, annettu 12. kesäkuuta 2013, pyroteknisten tuotteiden asettamista saataville markkinoilla koskevan jäsenvaltioiden lainsäädännön yhdenmukaistamisesta (EUVL L 178, 28.6.2013, s. 27, ELI: </w:t>
      </w:r>
      <w:hyperlink r:id="rId4" w:history="1">
        <w:r w:rsidR="00DF11BF">
          <w:rPr>
            <w:rStyle w:val="Hyperlink"/>
            <w:sz w:val="24"/>
            <w:lang w:val="fi-FI"/>
          </w:rPr>
          <w:t>http://data.europa.eu/eli/dir/2013/29/oj</w:t>
        </w:r>
      </w:hyperlink>
      <w:r w:rsidRPr="0046315E">
        <w:rPr>
          <w:sz w:val="24"/>
          <w:lang w:val="fi-FI"/>
        </w:rPr>
        <w:t>).</w:t>
      </w:r>
    </w:p>
  </w:footnote>
  <w:footnote w:id="8">
    <w:p w:rsidR="000508FA" w:rsidRPr="0046315E" w:rsidP="0046315E" w14:paraId="27D70B00" w14:textId="2A5A990E">
      <w:pPr>
        <w:pStyle w:val="FootnoteText"/>
        <w:ind w:left="567" w:hanging="567"/>
        <w:rPr>
          <w:sz w:val="24"/>
          <w:lang w:val="fi-FI"/>
        </w:rPr>
      </w:pPr>
      <w:r w:rsidRPr="0046315E">
        <w:rPr>
          <w:rStyle w:val="FootnoteReference"/>
          <w:sz w:val="24"/>
          <w:lang w:val="fi-FI"/>
        </w:rPr>
        <w:footnoteRef/>
      </w:r>
      <w:r w:rsidRPr="0046315E" w:rsidR="0046315E">
        <w:rPr>
          <w:sz w:val="24"/>
          <w:lang w:val="fi-FI"/>
        </w:rPr>
        <w:t xml:space="preserve"> </w:t>
      </w:r>
      <w:r w:rsidRPr="0046315E" w:rsidR="0046315E">
        <w:rPr>
          <w:sz w:val="24"/>
          <w:lang w:val="fi-FI"/>
        </w:rPr>
        <w:tab/>
      </w:r>
      <w:r w:rsidRPr="0046315E">
        <w:rPr>
          <w:sz w:val="24"/>
          <w:lang w:val="fi-FI"/>
        </w:rPr>
        <w:t>Euroopan parlamentin ja neuvoston direktiivi (EU) 2024/1712, annettu 13. kesäkuuta</w:t>
      </w:r>
      <w:r w:rsidR="00E837DC">
        <w:rPr>
          <w:sz w:val="24"/>
          <w:lang w:val="fi-FI"/>
        </w:rPr>
        <w:t xml:space="preserve"> </w:t>
      </w:r>
      <w:r w:rsidRPr="0046315E">
        <w:rPr>
          <w:sz w:val="24"/>
          <w:lang w:val="fi-FI"/>
        </w:rPr>
        <w:t xml:space="preserve">2024, ihmiskaupan ehkäisemisestä ja torjumisesta sekä ihmiskaupan uhrien suojelemisesta annetun direktiivin 2011/36/EU muuttamisesta (EUVL L, 2024/1712, 24.6.2024, ELI: </w:t>
      </w:r>
      <w:hyperlink r:id="rId5" w:history="1">
        <w:r w:rsidR="00DF11BF">
          <w:rPr>
            <w:rStyle w:val="Hyperlink"/>
            <w:sz w:val="24"/>
            <w:lang w:val="fi-FI"/>
          </w:rPr>
          <w:t>http://data.europa.eu/eli/dir/2024/1712/oj</w:t>
        </w:r>
      </w:hyperlink>
      <w:r w:rsidRPr="0046315E">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17071606">
    <w:abstractNumId w:val="9"/>
  </w:num>
  <w:num w:numId="2" w16cid:durableId="166215521">
    <w:abstractNumId w:val="9"/>
  </w:num>
  <w:num w:numId="3" w16cid:durableId="697779403">
    <w:abstractNumId w:val="7"/>
  </w:num>
  <w:num w:numId="4" w16cid:durableId="1763867146">
    <w:abstractNumId w:val="7"/>
  </w:num>
  <w:num w:numId="5" w16cid:durableId="1154225456">
    <w:abstractNumId w:val="6"/>
  </w:num>
  <w:num w:numId="6" w16cid:durableId="1368489471">
    <w:abstractNumId w:val="6"/>
  </w:num>
  <w:num w:numId="7" w16cid:durableId="1078789663">
    <w:abstractNumId w:val="5"/>
  </w:num>
  <w:num w:numId="8" w16cid:durableId="850994344">
    <w:abstractNumId w:val="5"/>
  </w:num>
  <w:num w:numId="9" w16cid:durableId="1778213209">
    <w:abstractNumId w:val="4"/>
  </w:num>
  <w:num w:numId="10" w16cid:durableId="190807362">
    <w:abstractNumId w:val="4"/>
  </w:num>
  <w:num w:numId="11" w16cid:durableId="874342769">
    <w:abstractNumId w:val="8"/>
  </w:num>
  <w:num w:numId="12" w16cid:durableId="907034507">
    <w:abstractNumId w:val="8"/>
  </w:num>
  <w:num w:numId="13" w16cid:durableId="844394569">
    <w:abstractNumId w:val="3"/>
  </w:num>
  <w:num w:numId="14" w16cid:durableId="1027439713">
    <w:abstractNumId w:val="3"/>
  </w:num>
  <w:num w:numId="15" w16cid:durableId="1116755678">
    <w:abstractNumId w:val="2"/>
  </w:num>
  <w:num w:numId="16" w16cid:durableId="468671338">
    <w:abstractNumId w:val="2"/>
  </w:num>
  <w:num w:numId="17" w16cid:durableId="45300814">
    <w:abstractNumId w:val="1"/>
  </w:num>
  <w:num w:numId="18" w16cid:durableId="1838224953">
    <w:abstractNumId w:val="1"/>
  </w:num>
  <w:num w:numId="19" w16cid:durableId="251670065">
    <w:abstractNumId w:val="0"/>
  </w:num>
  <w:num w:numId="20" w16cid:durableId="49161721">
    <w:abstractNumId w:val="0"/>
  </w:num>
  <w:num w:numId="21" w16cid:durableId="1370226763">
    <w:abstractNumId w:val="9"/>
  </w:num>
  <w:num w:numId="22" w16cid:durableId="988676525">
    <w:abstractNumId w:val="7"/>
  </w:num>
  <w:num w:numId="23" w16cid:durableId="255484215">
    <w:abstractNumId w:val="6"/>
  </w:num>
  <w:num w:numId="24" w16cid:durableId="1920406740">
    <w:abstractNumId w:val="5"/>
  </w:num>
  <w:num w:numId="25" w16cid:durableId="1476725797">
    <w:abstractNumId w:val="4"/>
  </w:num>
  <w:num w:numId="26" w16cid:durableId="1357775843">
    <w:abstractNumId w:val="8"/>
  </w:num>
  <w:num w:numId="27" w16cid:durableId="2439861">
    <w:abstractNumId w:val="3"/>
  </w:num>
  <w:num w:numId="28" w16cid:durableId="629676097">
    <w:abstractNumId w:val="2"/>
  </w:num>
  <w:num w:numId="29" w16cid:durableId="1822115211">
    <w:abstractNumId w:val="1"/>
  </w:num>
  <w:num w:numId="30" w16cid:durableId="333537416">
    <w:abstractNumId w:val="0"/>
  </w:num>
  <w:num w:numId="31" w16cid:durableId="1640720077">
    <w:abstractNumId w:val="9"/>
  </w:num>
  <w:num w:numId="32" w16cid:durableId="1590697848">
    <w:abstractNumId w:val="7"/>
  </w:num>
  <w:num w:numId="33" w16cid:durableId="808745788">
    <w:abstractNumId w:val="6"/>
  </w:num>
  <w:num w:numId="34" w16cid:durableId="1388337205">
    <w:abstractNumId w:val="5"/>
  </w:num>
  <w:num w:numId="35" w16cid:durableId="1781342446">
    <w:abstractNumId w:val="4"/>
  </w:num>
  <w:num w:numId="36" w16cid:durableId="1032733228">
    <w:abstractNumId w:val="8"/>
  </w:num>
  <w:num w:numId="37" w16cid:durableId="877009209">
    <w:abstractNumId w:val="3"/>
  </w:num>
  <w:num w:numId="38" w16cid:durableId="674381861">
    <w:abstractNumId w:val="2"/>
  </w:num>
  <w:num w:numId="39" w16cid:durableId="84882032">
    <w:abstractNumId w:val="1"/>
  </w:num>
  <w:num w:numId="40" w16cid:durableId="64379026">
    <w:abstractNumId w:val="0"/>
  </w:num>
  <w:num w:numId="41" w16cid:durableId="860821074">
    <w:abstractNumId w:val="10"/>
  </w:num>
  <w:num w:numId="42" w16cid:durableId="2079553122">
    <w:abstractNumId w:val="10"/>
  </w:num>
  <w:num w:numId="43" w16cid:durableId="1845973024">
    <w:abstractNumId w:val="10"/>
  </w:num>
  <w:num w:numId="44" w16cid:durableId="149992514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A64"/>
    <w:rsid w:val="00002272"/>
    <w:rsid w:val="000508FA"/>
    <w:rsid w:val="00064002"/>
    <w:rsid w:val="000677B9"/>
    <w:rsid w:val="000831BA"/>
    <w:rsid w:val="000A42CC"/>
    <w:rsid w:val="000E7DD9"/>
    <w:rsid w:val="0010095E"/>
    <w:rsid w:val="00125B37"/>
    <w:rsid w:val="00187494"/>
    <w:rsid w:val="001A0A64"/>
    <w:rsid w:val="001F32AE"/>
    <w:rsid w:val="002767FF"/>
    <w:rsid w:val="002A47A4"/>
    <w:rsid w:val="002B18FE"/>
    <w:rsid w:val="002B5493"/>
    <w:rsid w:val="00343214"/>
    <w:rsid w:val="00361C00"/>
    <w:rsid w:val="00395FA1"/>
    <w:rsid w:val="003E15D4"/>
    <w:rsid w:val="00411CCE"/>
    <w:rsid w:val="0041666E"/>
    <w:rsid w:val="00421060"/>
    <w:rsid w:val="0046315E"/>
    <w:rsid w:val="00471C19"/>
    <w:rsid w:val="004867E3"/>
    <w:rsid w:val="00494A28"/>
    <w:rsid w:val="004C0004"/>
    <w:rsid w:val="004C5D52"/>
    <w:rsid w:val="0050519A"/>
    <w:rsid w:val="005072A1"/>
    <w:rsid w:val="00514517"/>
    <w:rsid w:val="00545827"/>
    <w:rsid w:val="00560270"/>
    <w:rsid w:val="005C2568"/>
    <w:rsid w:val="005F1B17"/>
    <w:rsid w:val="006037C0"/>
    <w:rsid w:val="006159BD"/>
    <w:rsid w:val="006631B6"/>
    <w:rsid w:val="00680577"/>
    <w:rsid w:val="006F74FA"/>
    <w:rsid w:val="00731ADD"/>
    <w:rsid w:val="00734777"/>
    <w:rsid w:val="00747932"/>
    <w:rsid w:val="00751A4A"/>
    <w:rsid w:val="00756632"/>
    <w:rsid w:val="00762C74"/>
    <w:rsid w:val="00786EC0"/>
    <w:rsid w:val="007D1690"/>
    <w:rsid w:val="007E22AD"/>
    <w:rsid w:val="007E447D"/>
    <w:rsid w:val="00817416"/>
    <w:rsid w:val="00842779"/>
    <w:rsid w:val="00865F67"/>
    <w:rsid w:val="00881A7B"/>
    <w:rsid w:val="008840E5"/>
    <w:rsid w:val="00887B3E"/>
    <w:rsid w:val="008C2AC6"/>
    <w:rsid w:val="00930C23"/>
    <w:rsid w:val="0093193B"/>
    <w:rsid w:val="009509D8"/>
    <w:rsid w:val="00950B64"/>
    <w:rsid w:val="00981893"/>
    <w:rsid w:val="009A1135"/>
    <w:rsid w:val="00A1687D"/>
    <w:rsid w:val="00A26E54"/>
    <w:rsid w:val="00A43E52"/>
    <w:rsid w:val="00A4678D"/>
    <w:rsid w:val="00A778C7"/>
    <w:rsid w:val="00AB441E"/>
    <w:rsid w:val="00AB6293"/>
    <w:rsid w:val="00AE0928"/>
    <w:rsid w:val="00AF3B82"/>
    <w:rsid w:val="00B12E95"/>
    <w:rsid w:val="00B22876"/>
    <w:rsid w:val="00B558F0"/>
    <w:rsid w:val="00B90742"/>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11BF"/>
    <w:rsid w:val="00E365E1"/>
    <w:rsid w:val="00E820A4"/>
    <w:rsid w:val="00E837DC"/>
    <w:rsid w:val="00EB006A"/>
    <w:rsid w:val="00EB4772"/>
    <w:rsid w:val="00ED169E"/>
    <w:rsid w:val="00ED4235"/>
    <w:rsid w:val="00F04346"/>
    <w:rsid w:val="00F075DC"/>
    <w:rsid w:val="00F149E9"/>
    <w:rsid w:val="00F5134D"/>
    <w:rsid w:val="00F74202"/>
    <w:rsid w:val="00F87713"/>
    <w:rsid w:val="00FB4360"/>
    <w:rsid w:val="00FD0C70"/>
    <w:rsid w:val="00FE0820"/>
  </w:rsids>
  <w:docVars>
    <w:docVar w:name="dvdocse" w:val="B10-0275/2026"/>
    <w:docVar w:name="dvlangue" w:val="FI"/>
    <w:docVar w:name="dvnumam" w:val="0"/>
    <w:docVar w:name="dvpe" w:val="783.329"/>
    <w:docVar w:name="dvtitre" w:val="Euroopan parlamentin päätöslauselma 18. kesäkuuta 2026 lasten värväämisestä järjestäytyneen rikollisuuden palvelukseen(2026/2725(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506B7E0"/>
  <w15:chartTrackingRefBased/>
  <w15:docId w15:val="{6DE89D99-BF8D-4F2C-A0FA-284771F1A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4_G,Footnote,text,Footnotes refss,Footnote number,Fago Fußnotenzeichen,Footnote Ref,16 Point,Superscript 6 Point,Fago Fu?notenzeichen,Fago Fuﬂnotenzeichen,ftref,a Footnote Reference,FZ,Appel note de bas de page,Ref FNs Char,[0],[,Ref"/>
    <w:link w:val="ENFootnoteReference"/>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508FA"/>
    <w:pPr>
      <w:spacing w:before="480" w:after="240"/>
    </w:pPr>
  </w:style>
  <w:style w:type="paragraph" w:customStyle="1" w:styleId="NormalHanging12a">
    <w:name w:val="NormalHanging12a"/>
    <w:basedOn w:val="Normal"/>
    <w:link w:val="NormalHanging12aChar"/>
    <w:rsid w:val="000508FA"/>
    <w:pPr>
      <w:spacing w:after="240"/>
      <w:ind w:left="567" w:hanging="567"/>
    </w:pPr>
  </w:style>
  <w:style w:type="character" w:styleId="Hyperlink">
    <w:name w:val="Hyperlink"/>
    <w:basedOn w:val="DefaultParagraphFont"/>
    <w:unhideWhenUsed/>
    <w:rsid w:val="000508FA"/>
    <w:rPr>
      <w:color w:val="0563C1" w:themeColor="hyperlink"/>
      <w:u w:val="single"/>
    </w:rPr>
  </w:style>
  <w:style w:type="character" w:customStyle="1" w:styleId="NormalHanging12aChar">
    <w:name w:val="NormalHanging12a Char"/>
    <w:basedOn w:val="DefaultParagraphFont"/>
    <w:link w:val="NormalHanging12a"/>
    <w:rsid w:val="000508FA"/>
    <w:rPr>
      <w:sz w:val="24"/>
      <w:lang w:val="fi-FI"/>
    </w:rPr>
  </w:style>
  <w:style w:type="paragraph" w:customStyle="1" w:styleId="ENFootnoteReference">
    <w:name w:val="EN Footnote Reference"/>
    <w:aliases w:val="-E Fußnotenzeichen,number,SUPERS,BVI fnr תו Char Char Char,BVI fnr Car Car תו Char Char Char,BVI fnr Car תו Char Char Char,BVI fn"/>
    <w:basedOn w:val="Normal"/>
    <w:link w:val="FootnoteReference"/>
    <w:rsid w:val="000508FA"/>
    <w:pPr>
      <w:widowControl/>
      <w:spacing w:after="160" w:line="240" w:lineRule="exact"/>
    </w:pPr>
    <w:rPr>
      <w:sz w:val="20"/>
      <w:vertAlign w:val="superscript"/>
      <w:lang w:val="en-GB"/>
    </w:rPr>
  </w:style>
  <w:style w:type="paragraph" w:styleId="Footer">
    <w:name w:val="footer"/>
    <w:basedOn w:val="Normal"/>
    <w:link w:val="FooterChar"/>
    <w:rsid w:val="00DF11BF"/>
    <w:pPr>
      <w:tabs>
        <w:tab w:val="center" w:pos="4513"/>
        <w:tab w:val="right" w:pos="9026"/>
      </w:tabs>
    </w:pPr>
  </w:style>
  <w:style w:type="character" w:customStyle="1" w:styleId="FooterChar">
    <w:name w:val="Footer Char"/>
    <w:basedOn w:val="DefaultParagraphFont"/>
    <w:link w:val="Footer"/>
    <w:rsid w:val="00DF11BF"/>
    <w:rPr>
      <w:sz w:val="24"/>
      <w:lang w:val="fi-FI"/>
    </w:rPr>
  </w:style>
  <w:style w:type="character" w:styleId="UnresolvedMention">
    <w:name w:val="Unresolved Mention"/>
    <w:basedOn w:val="DefaultParagraphFont"/>
    <w:uiPriority w:val="99"/>
    <w:semiHidden/>
    <w:unhideWhenUsed/>
    <w:rsid w:val="00DF11BF"/>
    <w:rPr>
      <w:color w:val="605E5C"/>
      <w:shd w:val="clear" w:color="auto" w:fill="E1DFDD"/>
    </w:rPr>
  </w:style>
  <w:style w:type="paragraph" w:styleId="Revision">
    <w:name w:val="Revision"/>
    <w:hidden/>
    <w:uiPriority w:val="99"/>
    <w:semiHidden/>
    <w:rsid w:val="007E447D"/>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2/2065/oj" TargetMode="External" /><Relationship Id="rId2" Type="http://schemas.openxmlformats.org/officeDocument/2006/relationships/hyperlink" Target="http://data.europa.eu/eli/C/2025/5519/oj" TargetMode="External" /><Relationship Id="rId3" Type="http://schemas.openxmlformats.org/officeDocument/2006/relationships/hyperlink" Target="http://data.europa.eu/eli/dir/2016/800/oj" TargetMode="External" /><Relationship Id="rId4" Type="http://schemas.openxmlformats.org/officeDocument/2006/relationships/hyperlink" Target="http://data.europa.eu/eli/dir/2013/29/oj" TargetMode="External" /><Relationship Id="rId5" Type="http://schemas.openxmlformats.org/officeDocument/2006/relationships/hyperlink" Target="http://data.europa.eu/eli/dir/2024/171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2041</Words>
  <Characters>18213</Characters>
  <Application>Microsoft Office Word</Application>
  <DocSecurity>0</DocSecurity>
  <Lines>151</Lines>
  <Paragraphs>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2026-06-18T12:42:00Z</dcterms:created>
  <dcterms:modified xsi:type="dcterms:W3CDTF">2026-06-18T12:42:00Z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B10-0275/2026</vt:lpwstr>
  </property>
  <property fmtid="{D5CDD505-2E9C-101B-9397-08002B2CF9AE}" pid="4" name="&lt;Type&gt;">
    <vt:lpwstr>RR</vt:lpwstr>
  </property>
</Properties>
</file>