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C94AA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D6F7B" w:rsidP="0010095E" w14:paraId="14CA2230" w14:textId="77777777">
            <w:pPr>
              <w:pStyle w:val="EPName"/>
            </w:pPr>
            <w:r w:rsidRPr="00FD6F7B">
              <w:t>Europski parlament</w:t>
            </w:r>
          </w:p>
          <w:p w:rsidR="00751A4A" w:rsidRPr="00FD6F7B" w:rsidP="005F1B17" w14:paraId="298E4F5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6F7B">
              <w:t>2024</w:t>
            </w:r>
            <w:r w:rsidRPr="00FD6F7B" w:rsidR="00817416">
              <w:t>-202</w:t>
            </w:r>
            <w:r w:rsidRPr="00FD6F7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D6F7B" w:rsidP="0010095E" w14:paraId="5385EC5B" w14:textId="77777777">
            <w:pPr>
              <w:pStyle w:val="EPLogo"/>
            </w:pPr>
            <w:r w:rsidRPr="00FD6F7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D6F7B" w:rsidP="004C5D52" w14:paraId="6C41E293" w14:textId="77777777">
      <w:pPr>
        <w:pStyle w:val="LineTop"/>
      </w:pPr>
    </w:p>
    <w:p w:rsidR="00680577" w:rsidRPr="00FD6F7B" w:rsidP="00680577" w14:paraId="369E0F8C" w14:textId="77777777">
      <w:pPr>
        <w:pStyle w:val="EPBodyTA1"/>
      </w:pPr>
      <w:r w:rsidRPr="00FD6F7B">
        <w:t>USVOJENI TEKSTOVI</w:t>
      </w:r>
    </w:p>
    <w:p w:rsidR="00D058B8" w:rsidRPr="00FD6F7B" w:rsidP="00D058B8" w14:paraId="68C7484C" w14:textId="77777777">
      <w:pPr>
        <w:pStyle w:val="LineBottom"/>
      </w:pPr>
    </w:p>
    <w:p w:rsidR="006E2D0A" w:rsidRPr="00FD6F7B" w:rsidP="006E2D0A" w14:paraId="402D6EAA" w14:textId="4D2AD865">
      <w:pPr>
        <w:pStyle w:val="ATHeading1"/>
      </w:pPr>
      <w:bookmarkStart w:id="0" w:name="TANumber"/>
      <w:r w:rsidRPr="00FD6F7B">
        <w:t>P10_TA(2026)0</w:t>
      </w:r>
      <w:r w:rsidR="0017717C">
        <w:t>23</w:t>
      </w:r>
      <w:r w:rsidRPr="00FD6F7B">
        <w:t>0</w:t>
      </w:r>
      <w:bookmarkEnd w:id="0"/>
    </w:p>
    <w:p w:rsidR="006E2D0A" w:rsidRPr="00FD6F7B" w:rsidP="006E2D0A" w14:paraId="29FB4E8B" w14:textId="77777777">
      <w:pPr>
        <w:pStyle w:val="ATHeading2"/>
      </w:pPr>
      <w:bookmarkStart w:id="1" w:name="title"/>
      <w:r w:rsidRPr="00FD6F7B">
        <w:t>Novačenje djece u organizirani kriminal</w:t>
      </w:r>
      <w:bookmarkEnd w:id="1"/>
    </w:p>
    <w:p w:rsidR="006E2D0A" w:rsidRPr="00FD6F7B" w:rsidP="006E2D0A" w14:paraId="2900FBB8" w14:textId="77777777">
      <w:pPr>
        <w:rPr>
          <w:i/>
          <w:vanish/>
        </w:rPr>
      </w:pPr>
      <w:r>
        <w:rPr>
          <w:i/>
        </w:rPr>
        <w:fldChar w:fldCharType="begin"/>
      </w:r>
      <w:r w:rsidRPr="00FD6F7B">
        <w:rPr>
          <w:i/>
        </w:rPr>
        <w:instrText xml:space="preserve"> TC"(</w:instrText>
      </w:r>
      <w:bookmarkStart w:id="2" w:name="DocNumber"/>
      <w:r w:rsidRPr="00FD6F7B">
        <w:rPr>
          <w:i/>
        </w:rPr>
        <w:instrText>B10-0275/2026</w:instrText>
      </w:r>
      <w:bookmarkEnd w:id="2"/>
      <w:r w:rsidRPr="00FD6F7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E2D0A" w:rsidRPr="00FD6F7B" w:rsidP="006E2D0A" w14:paraId="25C597CA" w14:textId="77777777">
      <w:pPr>
        <w:rPr>
          <w:vanish/>
        </w:rPr>
      </w:pPr>
      <w:bookmarkStart w:id="3" w:name="PE"/>
      <w:r w:rsidRPr="00FD6F7B">
        <w:rPr>
          <w:vanish/>
        </w:rPr>
        <w:t>PE783.329</w:t>
      </w:r>
      <w:bookmarkEnd w:id="3"/>
    </w:p>
    <w:p w:rsidR="006E2D0A" w:rsidRPr="00FD6F7B" w:rsidP="006E2D0A" w14:paraId="285CE0F9" w14:textId="2C774E7A">
      <w:pPr>
        <w:pStyle w:val="ATHeading3"/>
      </w:pPr>
      <w:bookmarkStart w:id="4" w:name="Sujet"/>
      <w:r w:rsidRPr="00FD6F7B">
        <w:t xml:space="preserve">Rezolucija Europskog parlamenta od </w:t>
      </w:r>
      <w:r w:rsidR="00FD6F7B">
        <w:t>18</w:t>
      </w:r>
      <w:r w:rsidRPr="00FD6F7B">
        <w:t xml:space="preserve">. </w:t>
      </w:r>
      <w:r w:rsidR="00FD6F7B">
        <w:t xml:space="preserve">lipnja </w:t>
      </w:r>
      <w:r w:rsidRPr="00FD6F7B">
        <w:t>2026. o novačenju djece u organizirani kriminal</w:t>
      </w:r>
      <w:bookmarkEnd w:id="4"/>
      <w:r w:rsidRPr="00FD6F7B">
        <w:t xml:space="preserve"> </w:t>
      </w:r>
      <w:bookmarkStart w:id="5" w:name="References"/>
      <w:r w:rsidRPr="00FD6F7B">
        <w:t>(2026/2725(RSP))</w:t>
      </w:r>
      <w:bookmarkEnd w:id="5"/>
    </w:p>
    <w:p w:rsidR="00F902C8" w:rsidRPr="00FD6F7B" w:rsidP="00F902C8" w14:paraId="6C1037E0" w14:textId="77777777">
      <w:pPr>
        <w:pStyle w:val="EPComma"/>
      </w:pPr>
      <w:bookmarkStart w:id="6" w:name="TextBodyBegin"/>
      <w:bookmarkEnd w:id="6"/>
      <w:r w:rsidRPr="00FD6F7B">
        <w:rPr>
          <w:i/>
          <w:iCs/>
        </w:rPr>
        <w:t>Europski parlament</w:t>
      </w:r>
      <w:r w:rsidRPr="00FD6F7B">
        <w:t>,</w:t>
      </w:r>
    </w:p>
    <w:p w:rsidR="00F902C8" w:rsidRPr="00FD6F7B" w:rsidP="00F902C8" w14:paraId="453C8D8D" w14:textId="77777777">
      <w:pPr>
        <w:pStyle w:val="NormalHanging12a"/>
        <w:rPr>
          <w:spacing w:val="-2"/>
        </w:rPr>
      </w:pPr>
      <w:r w:rsidRPr="00FD6F7B">
        <w:t>–</w:t>
      </w:r>
      <w:r w:rsidRPr="00FD6F7B">
        <w:tab/>
        <w:t>uzimajući u obzir Konvenciju UN-a o pravima djeteta,</w:t>
      </w:r>
    </w:p>
    <w:p w:rsidR="00F902C8" w:rsidRPr="00FD6F7B" w:rsidP="00F902C8" w14:paraId="3F0F39C2" w14:textId="77777777">
      <w:pPr>
        <w:pStyle w:val="NormalHanging12a"/>
        <w:rPr>
          <w:spacing w:val="-2"/>
        </w:rPr>
      </w:pPr>
      <w:r w:rsidRPr="00FD6F7B">
        <w:t>–</w:t>
      </w:r>
      <w:r w:rsidRPr="00FD6F7B">
        <w:tab/>
        <w:t>uzimajući u obzir Rezoluciju Opće skupštine Ujedinjenih naroda 79/188 o sprečavanju i suzbijanju nasilja nad djecom koje provode organizirane kriminalne skupine i terorističke skupine u kontekstu sprečavanja kriminala i kaznenog pravosuđa,</w:t>
      </w:r>
    </w:p>
    <w:p w:rsidR="00F902C8" w:rsidRPr="00FD6F7B" w:rsidP="00F902C8" w14:paraId="462791A8" w14:textId="77777777">
      <w:pPr>
        <w:pStyle w:val="NormalHanging12a"/>
        <w:rPr>
          <w:spacing w:val="-2"/>
        </w:rPr>
      </w:pPr>
      <w:r w:rsidRPr="00FD6F7B">
        <w:t>–</w:t>
      </w:r>
      <w:r w:rsidRPr="00FD6F7B">
        <w:tab/>
        <w:t>uzimajući u obzir Rezoluciju Gospodarskog i socijalnog vijeća Ujedinjenih naroda 2024/12 o postupanju s djecom povezanom s terorističkim skupinama, uključujući djecu koju te skupine unovačuju i iskorištavaju,</w:t>
      </w:r>
    </w:p>
    <w:p w:rsidR="00F902C8" w:rsidRPr="00FD6F7B" w:rsidP="00F902C8" w14:paraId="770BAD20" w14:textId="799379FD">
      <w:pPr>
        <w:pStyle w:val="NormalHanging12a"/>
        <w:rPr>
          <w:spacing w:val="-2"/>
        </w:rPr>
      </w:pPr>
      <w:r w:rsidRPr="00FD6F7B">
        <w:t>–</w:t>
      </w:r>
      <w:r w:rsidRPr="00FD6F7B">
        <w:tab/>
        <w:t>uzimajući u obzir komunikaciju Komisije od 1. travnja 2025</w:t>
      </w:r>
      <w:r w:rsidR="008170EE">
        <w:t>.</w:t>
      </w:r>
      <w:r w:rsidRPr="00FD6F7B">
        <w:t xml:space="preserve"> naslovljenu „</w:t>
      </w:r>
      <w:r w:rsidRPr="00FD6F7B">
        <w:t>ProtectEU</w:t>
      </w:r>
      <w:r w:rsidRPr="00FD6F7B">
        <w:t xml:space="preserve"> 2025. – 2030.: europska strategija unutarnje sigurnosti” (COM(2025)0148),</w:t>
      </w:r>
    </w:p>
    <w:p w:rsidR="00F902C8" w:rsidRPr="00FD6F7B" w:rsidP="00F902C8" w14:paraId="15FD8F53" w14:textId="77777777">
      <w:pPr>
        <w:pStyle w:val="NormalHanging12a"/>
        <w:rPr>
          <w:spacing w:val="-2"/>
        </w:rPr>
      </w:pPr>
      <w:r w:rsidRPr="00FD6F7B">
        <w:t>–</w:t>
      </w:r>
      <w:r w:rsidRPr="00FD6F7B">
        <w:tab/>
        <w:t xml:space="preserve">uzimajući u obzir izvješće </w:t>
      </w:r>
      <w:r w:rsidRPr="00FD6F7B">
        <w:t>Europola</w:t>
      </w:r>
      <w:r w:rsidRPr="00FD6F7B">
        <w:t xml:space="preserve"> naslovljeno „EU </w:t>
      </w:r>
      <w:r w:rsidRPr="00FD6F7B">
        <w:t>Serious</w:t>
      </w:r>
      <w:r w:rsidRPr="00FD6F7B">
        <w:t xml:space="preserve"> </w:t>
      </w:r>
      <w:r w:rsidRPr="00FD6F7B">
        <w:t>and</w:t>
      </w:r>
      <w:r w:rsidRPr="00FD6F7B">
        <w:t xml:space="preserve"> </w:t>
      </w:r>
      <w:r w:rsidRPr="00FD6F7B">
        <w:t>Organised</w:t>
      </w:r>
      <w:r w:rsidRPr="00FD6F7B">
        <w:t xml:space="preserve"> </w:t>
      </w:r>
      <w:r w:rsidRPr="00FD6F7B">
        <w:t>Crime</w:t>
      </w:r>
      <w:r w:rsidRPr="00FD6F7B">
        <w:t xml:space="preserve"> </w:t>
      </w:r>
      <w:r w:rsidRPr="00FD6F7B">
        <w:t>Threat</w:t>
      </w:r>
      <w:r w:rsidRPr="00FD6F7B">
        <w:t xml:space="preserve"> </w:t>
      </w:r>
      <w:r w:rsidRPr="00FD6F7B">
        <w:t>Assessment</w:t>
      </w:r>
      <w:r w:rsidRPr="00FD6F7B">
        <w:t xml:space="preserve"> (EU-SOCTA) 2025” (Procjena prijetnje teškog i organiziranog kriminala u EU-u za 2025.),</w:t>
      </w:r>
    </w:p>
    <w:p w:rsidR="00F902C8" w:rsidRPr="00FD6F7B" w:rsidP="00F902C8" w14:paraId="3B702FCE" w14:textId="77777777">
      <w:pPr>
        <w:pStyle w:val="NormalHanging12a"/>
        <w:rPr>
          <w:spacing w:val="-2"/>
        </w:rPr>
      </w:pPr>
      <w:r w:rsidRPr="00FD6F7B">
        <w:t>–</w:t>
      </w:r>
      <w:r w:rsidRPr="00FD6F7B">
        <w:tab/>
        <w:t>uzimajući u obzir nadolazeći akcijski plan EU-a za zaštitu djece od kriminala,</w:t>
      </w:r>
    </w:p>
    <w:p w:rsidR="00F902C8" w:rsidRPr="00FD6F7B" w:rsidP="00F902C8" w14:paraId="59E6C4B5" w14:textId="77777777">
      <w:pPr>
        <w:pStyle w:val="NormalHanging12a"/>
        <w:rPr>
          <w:spacing w:val="-2"/>
        </w:rPr>
      </w:pPr>
      <w:r w:rsidRPr="00FD6F7B">
        <w:t>–</w:t>
      </w:r>
      <w:r w:rsidRPr="00FD6F7B">
        <w:tab/>
        <w:t xml:space="preserve">uzimajući u obzir projekt STRIVE </w:t>
      </w:r>
      <w:r w:rsidRPr="00FD6F7B">
        <w:t>Juvenile</w:t>
      </w:r>
      <w:r w:rsidRPr="00FD6F7B">
        <w:t xml:space="preserve"> EU-a i Ureda Ujedinjenih naroda za droge i kriminal (UNODC) i zaključke donesene nakon evaluacije tog projekta,</w:t>
      </w:r>
    </w:p>
    <w:p w:rsidR="00F902C8" w:rsidRPr="00FD6F7B" w:rsidP="00F902C8" w14:paraId="0515298D" w14:textId="77777777">
      <w:pPr>
        <w:pStyle w:val="NormalHanging12a"/>
      </w:pPr>
      <w:bookmarkStart w:id="7" w:name="_Hlk231207339"/>
      <w:r w:rsidRPr="00FD6F7B">
        <w:rPr>
          <w:snapToGrid w:val="0"/>
        </w:rPr>
        <w:t>–</w:t>
      </w:r>
      <w:r w:rsidRPr="00FD6F7B">
        <w:rPr>
          <w:snapToGrid w:val="0"/>
        </w:rPr>
        <w:tab/>
      </w:r>
      <w:r w:rsidRPr="00FD6F7B">
        <w:t>uzimajući u obzir Uredbu (EU) 2022/2065 Europskog parlamenta i Vijeća od 19. listopada 2022. o jedinstvenom tržištu digitalnih usluga i izmjeni Direktive 2000/31/EZ (Akt o digitalnim uslugama)</w:t>
      </w:r>
      <w:r>
        <w:rPr>
          <w:rStyle w:val="FootnoteReference"/>
        </w:rPr>
        <w:footnoteReference w:id="2"/>
      </w:r>
      <w:r w:rsidRPr="00FD6F7B">
        <w:t>, osobito njezine odredbe o zaštiti maloljetnika na internetu, procjeni i ublažavanju sistemskih rizika povezanih s nezakonitim sadržajem i štetnim ponašanjem na internetu, sustavima za preporučivanje i odgovornostima vrlo velikih internetskih platformi i vrlo velikih internetskih tražilica,</w:t>
      </w:r>
    </w:p>
    <w:p w:rsidR="00F902C8" w:rsidRPr="00FD6F7B" w:rsidP="00F902C8" w14:paraId="17E7B8E1" w14:textId="77777777">
      <w:pPr>
        <w:pStyle w:val="NormalHanging12a"/>
      </w:pPr>
      <w:r w:rsidRPr="00FD6F7B">
        <w:rPr>
          <w:snapToGrid w:val="0"/>
        </w:rPr>
        <w:t>–</w:t>
      </w:r>
      <w:r w:rsidRPr="00FD6F7B">
        <w:rPr>
          <w:snapToGrid w:val="0"/>
        </w:rPr>
        <w:tab/>
      </w:r>
      <w:r w:rsidRPr="00FD6F7B">
        <w:t>uzimajući u obzir smjernice Komisije u okviru Akta o digitalnim uslugama o zaštiti maloljetnika od 14. srpnja 2025.</w:t>
      </w:r>
      <w:r>
        <w:rPr>
          <w:rStyle w:val="FootnoteReference"/>
        </w:rPr>
        <w:footnoteReference w:id="3"/>
      </w:r>
      <w:r w:rsidRPr="00FD6F7B">
        <w:t>,</w:t>
      </w:r>
    </w:p>
    <w:p w:rsidR="00F902C8" w:rsidRPr="00FD6F7B" w:rsidP="00F902C8" w14:paraId="2FAC3B20" w14:textId="77777777">
      <w:pPr>
        <w:pStyle w:val="NormalHanging12a"/>
      </w:pPr>
      <w:r w:rsidRPr="00FD6F7B">
        <w:rPr>
          <w:snapToGrid w:val="0"/>
        </w:rPr>
        <w:t>–</w:t>
      </w:r>
      <w:r w:rsidRPr="00FD6F7B">
        <w:rPr>
          <w:snapToGrid w:val="0"/>
        </w:rPr>
        <w:tab/>
      </w:r>
      <w:r w:rsidRPr="00FD6F7B">
        <w:t xml:space="preserve">uzimajući u obzir obavještajno izvješće </w:t>
      </w:r>
      <w:r w:rsidRPr="00FD6F7B">
        <w:t>Europola</w:t>
      </w:r>
      <w:r w:rsidRPr="00FD6F7B">
        <w:t xml:space="preserve"> od 12. studenoga 2024. naslovljeno „</w:t>
      </w:r>
      <w:r w:rsidRPr="00FD6F7B">
        <w:t>The</w:t>
      </w:r>
      <w:r w:rsidRPr="00FD6F7B">
        <w:t xml:space="preserve"> </w:t>
      </w:r>
      <w:r w:rsidRPr="00FD6F7B">
        <w:t>recruitment</w:t>
      </w:r>
      <w:r w:rsidRPr="00FD6F7B">
        <w:t xml:space="preserve"> </w:t>
      </w:r>
      <w:r w:rsidRPr="00FD6F7B">
        <w:t>of</w:t>
      </w:r>
      <w:r w:rsidRPr="00FD6F7B">
        <w:t xml:space="preserve"> </w:t>
      </w:r>
      <w:r w:rsidRPr="00FD6F7B">
        <w:t>young</w:t>
      </w:r>
      <w:r w:rsidRPr="00FD6F7B">
        <w:t xml:space="preserve"> </w:t>
      </w:r>
      <w:r w:rsidRPr="00FD6F7B">
        <w:t>perpetrators</w:t>
      </w:r>
      <w:r w:rsidRPr="00FD6F7B">
        <w:t xml:space="preserve"> for </w:t>
      </w:r>
      <w:r w:rsidRPr="00FD6F7B">
        <w:t>criminal</w:t>
      </w:r>
      <w:r w:rsidRPr="00FD6F7B">
        <w:t xml:space="preserve"> </w:t>
      </w:r>
      <w:r w:rsidRPr="00FD6F7B">
        <w:t>networks</w:t>
      </w:r>
      <w:r w:rsidRPr="00FD6F7B">
        <w:t>” (Novačenje mladih počinitelja kaznenih djela u kriminalne mreže),</w:t>
      </w:r>
    </w:p>
    <w:p w:rsidR="00F902C8" w:rsidRPr="00FD6F7B" w:rsidP="00F902C8" w14:paraId="7D64F49E" w14:textId="77777777">
      <w:pPr>
        <w:pStyle w:val="NormalHanging12a"/>
      </w:pPr>
      <w:r w:rsidRPr="00FD6F7B">
        <w:rPr>
          <w:snapToGrid w:val="0"/>
        </w:rPr>
        <w:t>–</w:t>
      </w:r>
      <w:r w:rsidRPr="00FD6F7B">
        <w:rPr>
          <w:snapToGrid w:val="0"/>
        </w:rPr>
        <w:tab/>
      </w:r>
      <w:r w:rsidRPr="00FD6F7B">
        <w:t xml:space="preserve">uzimajući u obzir radni dokument istraživačkog centra UNICEF-a </w:t>
      </w:r>
      <w:r w:rsidRPr="00FD6F7B">
        <w:t>Innocenti</w:t>
      </w:r>
      <w:r w:rsidRPr="00FD6F7B">
        <w:t xml:space="preserve"> – Globalnog ureda za istraživanja i predviđanja iz rujna 2024. naslovljen „</w:t>
      </w:r>
      <w:r w:rsidRPr="00FD6F7B">
        <w:t>Children’s</w:t>
      </w:r>
      <w:r w:rsidRPr="00FD6F7B">
        <w:t xml:space="preserve"> </w:t>
      </w:r>
      <w:r w:rsidRPr="00FD6F7B">
        <w:t>Involvement</w:t>
      </w:r>
      <w:r w:rsidRPr="00FD6F7B">
        <w:t xml:space="preserve"> </w:t>
      </w:r>
      <w:r w:rsidRPr="00FD6F7B">
        <w:t>in</w:t>
      </w:r>
      <w:r w:rsidRPr="00FD6F7B">
        <w:t xml:space="preserve"> </w:t>
      </w:r>
      <w:r w:rsidRPr="00FD6F7B">
        <w:t>Organized</w:t>
      </w:r>
      <w:r w:rsidRPr="00FD6F7B">
        <w:t xml:space="preserve"> </w:t>
      </w:r>
      <w:r w:rsidRPr="00FD6F7B">
        <w:t>Violence</w:t>
      </w:r>
      <w:r w:rsidRPr="00FD6F7B">
        <w:t xml:space="preserve">: </w:t>
      </w:r>
      <w:r w:rsidRPr="00FD6F7B">
        <w:t>Emerging</w:t>
      </w:r>
      <w:r w:rsidRPr="00FD6F7B">
        <w:t xml:space="preserve"> </w:t>
      </w:r>
      <w:r w:rsidRPr="00FD6F7B">
        <w:t>trends</w:t>
      </w:r>
      <w:r w:rsidRPr="00FD6F7B">
        <w:t xml:space="preserve"> </w:t>
      </w:r>
      <w:r w:rsidRPr="00FD6F7B">
        <w:t>and</w:t>
      </w:r>
      <w:r w:rsidRPr="00FD6F7B">
        <w:t xml:space="preserve"> </w:t>
      </w:r>
      <w:r w:rsidRPr="00FD6F7B">
        <w:t>knowledge</w:t>
      </w:r>
      <w:r w:rsidRPr="00FD6F7B">
        <w:t xml:space="preserve"> </w:t>
      </w:r>
      <w:r w:rsidRPr="00FD6F7B">
        <w:t>gaps</w:t>
      </w:r>
      <w:r w:rsidRPr="00FD6F7B">
        <w:t>” (Uključenost djece u organizirano nasilje: novi trendovi i nedostatno znanje),</w:t>
      </w:r>
    </w:p>
    <w:bookmarkEnd w:id="7"/>
    <w:p w:rsidR="00F902C8" w:rsidRPr="00FD6F7B" w:rsidP="00F902C8" w14:paraId="250941DE" w14:textId="77777777">
      <w:pPr>
        <w:pStyle w:val="NormalHanging12a"/>
        <w:rPr>
          <w:bCs/>
          <w:spacing w:val="-2"/>
        </w:rPr>
      </w:pPr>
      <w:r w:rsidRPr="00FD6F7B">
        <w:t>–</w:t>
      </w:r>
      <w:r w:rsidRPr="00FD6F7B">
        <w:tab/>
        <w:t>uzimajući u obzir strategiju EU-a o pravima djeteta i strategiju EU-a u području droga,</w:t>
      </w:r>
    </w:p>
    <w:p w:rsidR="00F902C8" w:rsidRPr="00FD6F7B" w:rsidP="00F902C8" w14:paraId="6F30ADD9" w14:textId="77777777">
      <w:pPr>
        <w:pStyle w:val="NormalHanging12a"/>
        <w:rPr>
          <w:bCs/>
          <w:spacing w:val="-2"/>
        </w:rPr>
      </w:pPr>
      <w:r w:rsidRPr="00FD6F7B">
        <w:t>–</w:t>
      </w:r>
      <w:r w:rsidRPr="00FD6F7B">
        <w:tab/>
        <w:t>uzimajući u obzir saslušanje Odbora za građanske slobode, pravosuđe i unutarnje poslove od 4. lipnja 2025. naslovljeno „</w:t>
      </w:r>
      <w:r w:rsidRPr="00FD6F7B">
        <w:t>Radicalisation</w:t>
      </w:r>
      <w:r w:rsidRPr="00FD6F7B">
        <w:t xml:space="preserve"> online, </w:t>
      </w:r>
      <w:r w:rsidRPr="00FD6F7B">
        <w:t>with</w:t>
      </w:r>
      <w:r w:rsidRPr="00FD6F7B">
        <w:t xml:space="preserve"> a </w:t>
      </w:r>
      <w:r w:rsidRPr="00FD6F7B">
        <w:t>focus</w:t>
      </w:r>
      <w:r w:rsidRPr="00FD6F7B">
        <w:t xml:space="preserve"> on </w:t>
      </w:r>
      <w:r w:rsidRPr="00FD6F7B">
        <w:t>the</w:t>
      </w:r>
      <w:r w:rsidRPr="00FD6F7B">
        <w:t xml:space="preserve"> </w:t>
      </w:r>
      <w:r w:rsidRPr="00FD6F7B">
        <w:t>recruitment</w:t>
      </w:r>
      <w:r w:rsidRPr="00FD6F7B">
        <w:t xml:space="preserve"> </w:t>
      </w:r>
      <w:r w:rsidRPr="00FD6F7B">
        <w:t>of</w:t>
      </w:r>
      <w:r w:rsidRPr="00FD6F7B">
        <w:t xml:space="preserve"> </w:t>
      </w:r>
      <w:r w:rsidRPr="00FD6F7B">
        <w:t>children</w:t>
      </w:r>
      <w:r w:rsidRPr="00FD6F7B">
        <w:t xml:space="preserve"> for </w:t>
      </w:r>
      <w:r w:rsidRPr="00FD6F7B">
        <w:t>organised</w:t>
      </w:r>
      <w:r w:rsidRPr="00FD6F7B">
        <w:t xml:space="preserve"> </w:t>
      </w:r>
      <w:r w:rsidRPr="00FD6F7B">
        <w:t>crime</w:t>
      </w:r>
      <w:r w:rsidRPr="00FD6F7B">
        <w:t xml:space="preserve"> </w:t>
      </w:r>
      <w:r w:rsidRPr="00FD6F7B">
        <w:t>and</w:t>
      </w:r>
      <w:r w:rsidRPr="00FD6F7B">
        <w:t xml:space="preserve"> </w:t>
      </w:r>
      <w:r w:rsidRPr="00FD6F7B">
        <w:t>terrorism</w:t>
      </w:r>
      <w:r w:rsidRPr="00FD6F7B">
        <w:t>” (Radikalizacija na internetu, s naglaskom na novačenju djece za organizirani kriminal i terorizam),</w:t>
      </w:r>
    </w:p>
    <w:p w:rsidR="00F902C8" w:rsidRPr="00FD6F7B" w:rsidP="00F902C8" w14:paraId="398A539F" w14:textId="77777777">
      <w:pPr>
        <w:pStyle w:val="NormalHanging12a"/>
        <w:rPr>
          <w:bCs/>
          <w:spacing w:val="-2"/>
        </w:rPr>
      </w:pPr>
      <w:r w:rsidRPr="00FD6F7B">
        <w:t>–</w:t>
      </w:r>
      <w:r w:rsidRPr="00FD6F7B">
        <w:tab/>
        <w:t xml:space="preserve">uzimajući u obzir svoju Rezoluciju od 20. siječnja 2026. o ubojstvu </w:t>
      </w:r>
      <w:r w:rsidRPr="00FD6F7B">
        <w:t>Mehdija</w:t>
      </w:r>
      <w:r w:rsidRPr="00FD6F7B">
        <w:t xml:space="preserve"> </w:t>
      </w:r>
      <w:r w:rsidRPr="00FD6F7B">
        <w:t>Kessacija</w:t>
      </w:r>
      <w:r w:rsidRPr="00FD6F7B">
        <w:t>: hitna potreba za ambicioznim europskim djelovanjem protiv trgovine drogom</w:t>
      </w:r>
      <w:r>
        <w:rPr>
          <w:rStyle w:val="FootnoteReference"/>
        </w:rPr>
        <w:footnoteReference w:id="4"/>
      </w:r>
      <w:r w:rsidRPr="00FD6F7B">
        <w:t>,</w:t>
      </w:r>
    </w:p>
    <w:p w:rsidR="00F902C8" w:rsidRPr="00FD6F7B" w:rsidP="00F902C8" w14:paraId="0AB6C2EC" w14:textId="77777777">
      <w:pPr>
        <w:pStyle w:val="NormalHanging12a"/>
        <w:rPr>
          <w:spacing w:val="-2"/>
        </w:rPr>
      </w:pPr>
      <w:r w:rsidRPr="00FD6F7B">
        <w:t>–</w:t>
      </w:r>
      <w:r w:rsidRPr="00FD6F7B">
        <w:tab/>
        <w:t xml:space="preserve">uzimajući u obzir Direktivu (EU) 2016/800 Europskog parlamenta i Vijeća od 11. svibnja 2016. o </w:t>
      </w:r>
      <w:r w:rsidRPr="00FD6F7B">
        <w:t>postupovnim</w:t>
      </w:r>
      <w:r w:rsidRPr="00FD6F7B">
        <w:t xml:space="preserve"> jamstvima za djecu koja su osumnjičenici ili optuženici u kaznenim postupcima</w:t>
      </w:r>
      <w:r>
        <w:rPr>
          <w:rStyle w:val="FootnoteReference"/>
        </w:rPr>
        <w:footnoteReference w:id="5"/>
      </w:r>
      <w:r w:rsidRPr="00FD6F7B">
        <w:t>,</w:t>
      </w:r>
    </w:p>
    <w:p w:rsidR="00F902C8" w:rsidRPr="00FD6F7B" w:rsidP="00F902C8" w14:paraId="20608824" w14:textId="77777777">
      <w:pPr>
        <w:pStyle w:val="NormalHanging12a"/>
      </w:pPr>
      <w:r w:rsidRPr="00FD6F7B">
        <w:t>–</w:t>
      </w:r>
      <w:r w:rsidRPr="00FD6F7B">
        <w:tab/>
        <w:t>uzimajući u obzir članak 136. stavak 2. Poslovnika,</w:t>
      </w:r>
    </w:p>
    <w:p w:rsidR="00F902C8" w:rsidRPr="00FD6F7B" w:rsidP="00F902C8" w14:paraId="32538D98" w14:textId="77777777">
      <w:pPr>
        <w:pStyle w:val="NormalHanging12a"/>
      </w:pPr>
      <w:r w:rsidRPr="00FD6F7B">
        <w:t>A.</w:t>
      </w:r>
      <w:r w:rsidRPr="00FD6F7B">
        <w:rPr>
          <w:snapToGrid w:val="0"/>
        </w:rPr>
        <w:tab/>
      </w:r>
      <w:r w:rsidRPr="00FD6F7B">
        <w:t>budući da organizirane kriminalne i terorističke skupine u okviru svojih operativnih strategija sve više novače i iskorištavaju djecu, među ostalim kako bi zaštitile odrasle počinitelje od otkrivanja i kaznenog progona te proširile nezakonite aktivnosti;</w:t>
      </w:r>
    </w:p>
    <w:p w:rsidR="00F902C8" w:rsidRPr="00FD6F7B" w:rsidP="00F902C8" w14:paraId="4A6BC2C1" w14:textId="77777777">
      <w:pPr>
        <w:pStyle w:val="NormalHanging12a"/>
      </w:pPr>
      <w:r w:rsidRPr="00FD6F7B">
        <w:rPr>
          <w:snapToGrid w:val="0"/>
        </w:rPr>
        <w:t>B.</w:t>
      </w:r>
      <w:r w:rsidRPr="00FD6F7B">
        <w:rPr>
          <w:snapToGrid w:val="0"/>
        </w:rPr>
        <w:tab/>
      </w:r>
      <w:r w:rsidRPr="00FD6F7B">
        <w:t xml:space="preserve">budući da </w:t>
      </w:r>
      <w:r w:rsidRPr="00FD6F7B">
        <w:t>Europolovo</w:t>
      </w:r>
      <w:r w:rsidRPr="00FD6F7B">
        <w:t xml:space="preserve"> obavještajno izvješće iz studenoga 2024. pokazuje da maloljetnici koje su unovačile kriminalne mreže obično nisu u izravnom kontaktu s višim razinama tih organizacija i regrutiraju se preko pružatelja kriminalnih usluga; budući da su ti maloljetnici zbog ograničenog znanja o strukturi tih mreža i čestog nepostojanja prethodne kaznene evidencije </w:t>
      </w:r>
      <w:r w:rsidRPr="00FD6F7B">
        <w:t>niskorizični</w:t>
      </w:r>
      <w:r w:rsidRPr="00FD6F7B">
        <w:t xml:space="preserve"> operativci za koje je manje vjerojatno da će u slučaju uhićenja pružiti korisne informacije tijelima kaznenog progona;</w:t>
      </w:r>
    </w:p>
    <w:p w:rsidR="00F902C8" w:rsidRPr="00FD6F7B" w:rsidP="00F902C8" w14:paraId="231B4B58" w14:textId="77777777">
      <w:pPr>
        <w:pStyle w:val="NormalHanging12a"/>
      </w:pPr>
      <w:r w:rsidRPr="00FD6F7B">
        <w:rPr>
          <w:snapToGrid w:val="0"/>
        </w:rPr>
        <w:t>C.</w:t>
      </w:r>
      <w:r w:rsidRPr="00FD6F7B">
        <w:rPr>
          <w:snapToGrid w:val="0"/>
        </w:rPr>
        <w:tab/>
      </w:r>
      <w:r w:rsidRPr="00FD6F7B">
        <w:t xml:space="preserve">budući da se novačenjem i iskorištavanjem djece koje provode organizirane kriminalne i terorističke skupine krše temeljna prava djece, uključujući njihovo dostojanstvo, što ima ozbiljne posljedice za njihovu sigurnost i budućnost; budući da izloženost djece novačenju koje provode organizirane kriminalne mreže proizlazi iz kumulativnih i </w:t>
      </w:r>
      <w:r w:rsidRPr="00FD6F7B">
        <w:t>intersekcijskih</w:t>
      </w:r>
      <w:r w:rsidRPr="00FD6F7B">
        <w:t xml:space="preserve"> faktora rizika, uključujući nedostatak osjećaja pripadnosti, negativna iskustva u djetinjstvu i izazove povezane s mentalnim zdravljem, koji se namjerno iskorištavaju; budući da učinkovita prevencija zahtijeva integrirane odgovore kojima se </w:t>
      </w:r>
      <w:r w:rsidRPr="00FD6F7B">
        <w:t>uklanjaju ti faktori;</w:t>
      </w:r>
    </w:p>
    <w:p w:rsidR="00F902C8" w:rsidRPr="00FD6F7B" w:rsidP="00F902C8" w14:paraId="692631A7" w14:textId="77777777">
      <w:pPr>
        <w:pStyle w:val="NormalHanging12a"/>
      </w:pPr>
      <w:r w:rsidRPr="00FD6F7B">
        <w:rPr>
          <w:snapToGrid w:val="0"/>
        </w:rPr>
        <w:t>D.</w:t>
      </w:r>
      <w:r w:rsidRPr="00FD6F7B">
        <w:rPr>
          <w:snapToGrid w:val="0"/>
        </w:rPr>
        <w:tab/>
      </w:r>
      <w:r w:rsidRPr="00FD6F7B">
        <w:t>budući da je novačenje djece iz prvenstveno humanitarnog problema preraslo u sustavni pokretač organiziranog kriminala te je postalo dio operativnih modela kriminalnih mreža i prepreka miru, sigurnosti i razvoju; budući da kriminalne skupine koje novače djecu ugrožavaju sigurnost EU-a, potiču kriminal i perpetuiraju cikluse nasilja i nesigurnosti koji se protežu kroz više generacija;</w:t>
      </w:r>
    </w:p>
    <w:p w:rsidR="00F902C8" w:rsidRPr="00FD6F7B" w:rsidP="00F902C8" w14:paraId="794BC6D4" w14:textId="77777777">
      <w:pPr>
        <w:pStyle w:val="NormalHanging12a"/>
      </w:pPr>
      <w:r w:rsidRPr="00FD6F7B">
        <w:rPr>
          <w:snapToGrid w:val="0"/>
        </w:rPr>
        <w:t>E.</w:t>
      </w:r>
      <w:r w:rsidRPr="00FD6F7B">
        <w:rPr>
          <w:snapToGrid w:val="0"/>
        </w:rPr>
        <w:tab/>
      </w:r>
      <w:r w:rsidRPr="00FD6F7B">
        <w:t>budući da te prakse olakšava određeni tehnološki razvoj zbog kojeg može doći do normalizacije i poticanja kriminalnog ponašanja među djecom;</w:t>
      </w:r>
    </w:p>
    <w:p w:rsidR="00F902C8" w:rsidRPr="00FD6F7B" w:rsidP="00F902C8" w14:paraId="6B17BA2F" w14:textId="77777777">
      <w:pPr>
        <w:pStyle w:val="NormalHanging12a"/>
      </w:pPr>
      <w:r w:rsidRPr="00FD6F7B">
        <w:rPr>
          <w:snapToGrid w:val="0"/>
        </w:rPr>
        <w:t>F.</w:t>
      </w:r>
      <w:r w:rsidRPr="00FD6F7B">
        <w:rPr>
          <w:snapToGrid w:val="0"/>
        </w:rPr>
        <w:tab/>
      </w:r>
      <w:r w:rsidRPr="00FD6F7B">
        <w:t xml:space="preserve">budući da je </w:t>
      </w:r>
      <w:r w:rsidRPr="00FD6F7B">
        <w:t>Europol</w:t>
      </w:r>
      <w:r w:rsidRPr="00FD6F7B">
        <w:t xml:space="preserve"> 2024. proveo mapiranje i utvrdio 821 visokorizičnu kriminalnu mrežu aktivnu u EU-u, uz procijenjeni godišnji prihod u iznosu od 92 do 188 milijardi EUR, što čini otprilike 0,7 – 1,4 % BDP-a EU-a</w:t>
      </w:r>
      <w:r>
        <w:rPr>
          <w:rStyle w:val="FootnoteReference"/>
          <w:color w:val="000000"/>
        </w:rPr>
        <w:footnoteReference w:id="6"/>
      </w:r>
      <w:r w:rsidRPr="00FD6F7B">
        <w:t>; budući da su maloljetnici uključeni u više od 70 % nezakonitih tržišnih aktivnosti, uključujući trgovinu drogom, iznudu, internetske prijevare, pranje novca, nezakonitu trgovinu vatrenim oružjem i mehanizme „nasilja kao usluge”, pri čemu kriminalne mreže iskorištavaju djecu od samo 12 godina za zadaće kao što su prodavanje droge na ulicama, dostavljanje gotovine i izvlačenje droga iz teretnih kontejnera;</w:t>
      </w:r>
    </w:p>
    <w:p w:rsidR="00F902C8" w:rsidRPr="00FD6F7B" w:rsidP="00F902C8" w14:paraId="084E90FE" w14:textId="77777777">
      <w:pPr>
        <w:pStyle w:val="NormalHanging12a"/>
        <w:rPr>
          <w:bCs/>
        </w:rPr>
      </w:pPr>
      <w:r w:rsidRPr="00FD6F7B">
        <w:rPr>
          <w:snapToGrid w:val="0"/>
        </w:rPr>
        <w:t>G.</w:t>
      </w:r>
      <w:r w:rsidRPr="00FD6F7B">
        <w:rPr>
          <w:snapToGrid w:val="0"/>
        </w:rPr>
        <w:tab/>
      </w:r>
      <w:r w:rsidRPr="00FD6F7B">
        <w:t>budući da kriminalne organizacije sustavno ciljaju djecu u vrlo osjetljivim situacijama, posebno djecu koja se suočavaju sa socioekonomskom isključenošću, napuštanjem školovanja i raspadanjem obitelji, ili djecu migrante, pri čemu iskorištavaju njihovu ekonomsku nesigurnost, društvenu marginalizaciju i nedostatak osviještenosti o rizicima;</w:t>
      </w:r>
    </w:p>
    <w:p w:rsidR="00F902C8" w:rsidRPr="00FD6F7B" w:rsidP="00F902C8" w14:paraId="491D13C0" w14:textId="77777777">
      <w:pPr>
        <w:pStyle w:val="NormalHanging12a"/>
        <w:rPr>
          <w:bCs/>
        </w:rPr>
      </w:pPr>
      <w:r w:rsidRPr="00FD6F7B">
        <w:rPr>
          <w:snapToGrid w:val="0"/>
        </w:rPr>
        <w:t>H.</w:t>
      </w:r>
      <w:r w:rsidRPr="00FD6F7B">
        <w:rPr>
          <w:snapToGrid w:val="0"/>
        </w:rPr>
        <w:tab/>
      </w:r>
      <w:r w:rsidRPr="00FD6F7B">
        <w:t>budući da su djevojčice i mlade žene sve više uključene u organizirani kriminal, iako ih kaznenopravni sustavi često zanemaruju, pri čemu je 22 % identificiranih žrtava trgovine ljudima u zapadnoj i južnoj Europi prisiljeno na kriminalne aktivnosti, prvenstveno trgovinu drogom;</w:t>
      </w:r>
    </w:p>
    <w:p w:rsidR="00F902C8" w:rsidRPr="00FD6F7B" w:rsidP="00F902C8" w14:paraId="7B8B7E6B" w14:textId="77777777">
      <w:pPr>
        <w:pStyle w:val="NormalHanging12a"/>
      </w:pPr>
      <w:r w:rsidRPr="00FD6F7B">
        <w:rPr>
          <w:snapToGrid w:val="0"/>
        </w:rPr>
        <w:t>I.</w:t>
      </w:r>
      <w:r w:rsidRPr="00FD6F7B">
        <w:rPr>
          <w:snapToGrid w:val="0"/>
        </w:rPr>
        <w:tab/>
      </w:r>
      <w:r w:rsidRPr="00FD6F7B">
        <w:t>budući da nezakonita trgovina vatrenim oružjem i nezakonita uporaba pirotehničkih sredstava doprinose prelasku s kaznenih djela niske razine na ozbiljnija i nasilnija kaznena djela koja uključuju maloljetnike, među kojima su iznuda i ubojstva; budući da osobe koje provode novačenje za kriminalne mreže mogu maloljetnicima ponuditi znatne financijske poticaje, u rasponu od nekoliko tisuća eura do čak 20 000 EUR za ubojstvo;</w:t>
      </w:r>
    </w:p>
    <w:p w:rsidR="00F902C8" w:rsidRPr="00FD6F7B" w:rsidP="00F902C8" w14:paraId="317DCEA0" w14:textId="77777777">
      <w:pPr>
        <w:pStyle w:val="NormalHanging12a"/>
      </w:pPr>
      <w:r w:rsidRPr="00FD6F7B">
        <w:rPr>
          <w:snapToGrid w:val="0"/>
        </w:rPr>
        <w:t>J.</w:t>
      </w:r>
      <w:r w:rsidRPr="00FD6F7B">
        <w:rPr>
          <w:snapToGrid w:val="0"/>
        </w:rPr>
        <w:tab/>
      </w:r>
      <w:r w:rsidRPr="00FD6F7B">
        <w:t xml:space="preserve">budući da su zastrašivanje i prisila povezani s drogom primarni put kojim organizirane kriminalne mreže unovačuju i iskorištavaju djecu, putem </w:t>
      </w:r>
      <w:r w:rsidRPr="00FD6F7B">
        <w:t>dužništva</w:t>
      </w:r>
      <w:r w:rsidRPr="00FD6F7B">
        <w:t>, mamljenja i nasilja; budući da prekogranični doseg takvih mreža znači da se takve pojave ne mogu na odgovarajući način riješiti samo nacionalnim djelovanjem;</w:t>
      </w:r>
    </w:p>
    <w:p w:rsidR="00F902C8" w:rsidRPr="00FD6F7B" w:rsidP="00F902C8" w14:paraId="426C9E6D" w14:textId="77777777">
      <w:pPr>
        <w:pStyle w:val="NormalHanging12a"/>
      </w:pPr>
      <w:r w:rsidRPr="00FD6F7B">
        <w:rPr>
          <w:snapToGrid w:val="0"/>
        </w:rPr>
        <w:t>K.</w:t>
      </w:r>
      <w:r w:rsidRPr="00FD6F7B">
        <w:rPr>
          <w:snapToGrid w:val="0"/>
        </w:rPr>
        <w:tab/>
      </w:r>
      <w:r w:rsidRPr="00FD6F7B">
        <w:t xml:space="preserve">budući da je širenje tržišta droga dovelo do alarmantne razine uključenosti maloljetnika, što je vidljivo iz naglog povećanja upotrebe važnih logističkih čvorišta, uključujući luke; budući da nedostatak usklađenih učinaka trenutačne definicije organiziranog kriminala u državama članicama EU-a otežava prikupljanje i usporedivost podataka te budući da su podaci o maloljetnicima u organiziranom kriminalu oskudni, često </w:t>
      </w:r>
      <w:r w:rsidRPr="00FD6F7B">
        <w:t>nepouzdani i jedva usporedivi zbog različite dobi kaznene odgovornosti i nedovoljnog prijavljivanja;</w:t>
      </w:r>
    </w:p>
    <w:p w:rsidR="00F902C8" w:rsidRPr="00FD6F7B" w:rsidP="00F902C8" w14:paraId="5C068E51" w14:textId="77777777">
      <w:pPr>
        <w:pStyle w:val="NormalHanging12a"/>
      </w:pPr>
      <w:r w:rsidRPr="00FD6F7B">
        <w:rPr>
          <w:snapToGrid w:val="0"/>
        </w:rPr>
        <w:t>L.</w:t>
      </w:r>
      <w:r w:rsidRPr="00FD6F7B">
        <w:rPr>
          <w:snapToGrid w:val="0"/>
        </w:rPr>
        <w:tab/>
      </w:r>
      <w:r w:rsidRPr="00FD6F7B">
        <w:t>budući da su nedovoljna ulaganja u javne usluge, uključujući prevenciju, obrazovanje i zdravstvene usluge, temeljni uzroci novačenja djece od strane organiziranih kriminalnih skupina;</w:t>
      </w:r>
    </w:p>
    <w:p w:rsidR="00F902C8" w:rsidRPr="00FD6F7B" w:rsidP="00F902C8" w14:paraId="028EA7A6" w14:textId="77777777">
      <w:pPr>
        <w:pStyle w:val="NormalHanging12a"/>
      </w:pPr>
      <w:r w:rsidRPr="00FD6F7B">
        <w:rPr>
          <w:snapToGrid w:val="0"/>
        </w:rPr>
        <w:t>M.</w:t>
      </w:r>
      <w:r w:rsidRPr="00FD6F7B">
        <w:rPr>
          <w:snapToGrid w:val="0"/>
        </w:rPr>
        <w:tab/>
      </w:r>
      <w:r w:rsidRPr="00FD6F7B">
        <w:t xml:space="preserve">budući da zbog fragmentiranih institucionalnih odgovora i nedovoljne koordinacije između sustava za zaštitu djece, pravosudnih tijela, sigurnosnih agencija i digitalnih regulatora dolazi do nedostataka koje iskorištavaju kriminalne skupine; budući da se u rezoluciji Parlamenta o ubojstvu </w:t>
      </w:r>
      <w:r w:rsidRPr="00FD6F7B">
        <w:t>Mehdija</w:t>
      </w:r>
      <w:r w:rsidRPr="00FD6F7B">
        <w:t xml:space="preserve"> </w:t>
      </w:r>
      <w:r w:rsidRPr="00FD6F7B">
        <w:t>Kessacija</w:t>
      </w:r>
      <w:r w:rsidRPr="00FD6F7B">
        <w:t xml:space="preserve"> u Marseilleu osuđuje sustavno novačenje mladih od strane kriminalnih skupina i poziva na pojačanu prevenciju, zaštitu i kazneni progon, uključujući pružanje specijalizirane potpore maloljetnicima kako bi pobjegli od iskorištavanja i ponovno se uključili u društvo;</w:t>
      </w:r>
    </w:p>
    <w:p w:rsidR="00F902C8" w:rsidRPr="00FD6F7B" w:rsidP="00F902C8" w14:paraId="35C24633" w14:textId="77777777">
      <w:pPr>
        <w:pStyle w:val="NormalHanging12a"/>
      </w:pPr>
      <w:r w:rsidRPr="00FD6F7B">
        <w:rPr>
          <w:snapToGrid w:val="0"/>
        </w:rPr>
        <w:t>N.</w:t>
      </w:r>
      <w:r w:rsidRPr="00FD6F7B">
        <w:rPr>
          <w:snapToGrid w:val="0"/>
        </w:rPr>
        <w:tab/>
      </w:r>
      <w:r w:rsidRPr="00FD6F7B">
        <w:t xml:space="preserve">budući da je </w:t>
      </w:r>
      <w:r w:rsidRPr="00FD6F7B">
        <w:t>Europol</w:t>
      </w:r>
      <w:r w:rsidRPr="00FD6F7B">
        <w:t xml:space="preserve"> u travnju 2025. osnovao operativnu radnu skupinu pod nazivom „GRIMM” za koordinaciju s tehnološkim poduzećima kako bi se utvrdili pokušaji novačenja djece putem društvenih mreža i platformi za razmjenu poruka, koju vodi Švedska i koja okuplja policijske snage iz Belgije, Danske, Finske, Francuske, Njemačke, Nizozemske i Norveške;</w:t>
      </w:r>
    </w:p>
    <w:p w:rsidR="00F902C8" w:rsidRPr="00FD6F7B" w:rsidP="00F902C8" w14:paraId="790BE386" w14:textId="77777777">
      <w:pPr>
        <w:pStyle w:val="NormalHanging12a"/>
      </w:pPr>
      <w:r w:rsidRPr="00FD6F7B">
        <w:rPr>
          <w:snapToGrid w:val="0"/>
        </w:rPr>
        <w:t>O.</w:t>
      </w:r>
      <w:r w:rsidRPr="00FD6F7B">
        <w:rPr>
          <w:snapToGrid w:val="0"/>
        </w:rPr>
        <w:tab/>
      </w:r>
      <w:r w:rsidRPr="00FD6F7B">
        <w:t xml:space="preserve">budući da pristupi utemeljeni na dokazima, kao što su oni razvijeni u okviru projekta STRIVE </w:t>
      </w:r>
      <w:r w:rsidRPr="00FD6F7B">
        <w:t>Juvenile</w:t>
      </w:r>
      <w:r w:rsidRPr="00FD6F7B">
        <w:t xml:space="preserve"> EU-a i UNODC-a, pokazuju učinkovitost preventivnih, međusektorskih, rodno osjetljivih odgovora utemeljenih na informacijama o traumi i usmjerenih na djecu;</w:t>
      </w:r>
    </w:p>
    <w:p w:rsidR="00F902C8" w:rsidRPr="00FD6F7B" w:rsidP="00F902C8" w14:paraId="58248A15" w14:textId="77777777">
      <w:pPr>
        <w:pStyle w:val="NormalHanging12a"/>
      </w:pPr>
      <w:r w:rsidRPr="00FD6F7B">
        <w:t>1.</w:t>
      </w:r>
      <w:r w:rsidRPr="00FD6F7B">
        <w:tab/>
        <w:t>oštro osuđuje novačenje i iskorištavanje djece koje provode organizirane kriminalne i terorističke skupine u svim oblicima, na internetu i izvan njega;</w:t>
      </w:r>
    </w:p>
    <w:p w:rsidR="00F902C8" w:rsidRPr="00FD6F7B" w:rsidP="00F902C8" w14:paraId="0CD231F5" w14:textId="77777777">
      <w:pPr>
        <w:pStyle w:val="NormalHanging12a"/>
        <w:rPr>
          <w:spacing w:val="-2"/>
        </w:rPr>
      </w:pPr>
      <w:r w:rsidRPr="00FD6F7B">
        <w:t>2.</w:t>
      </w:r>
      <w:r w:rsidRPr="00FD6F7B">
        <w:tab/>
        <w:t>potvrđuje da novačenje djece predstavlja teško kazneno djelo protiv djece i ozbiljno kršenje ljudskih prava; naglašava da je riječ o sve većoj unutarnjoj i vanjskoj sigurnosnoj prijetnji za Europsku uniju koja zahtijeva sveobuhvatan odgovor usmjeren na zaštitu, ranu prevenciju, pristup pravima i kontinuitet obrazovanja, integraciju unutarnje sigurnosti, pravosuđa, socijalnih i obrazovnih sustava te strategija i mjera usmjerenih na jačanje okvira zaštite za djecu, na internetu i izvan njega;</w:t>
      </w:r>
    </w:p>
    <w:p w:rsidR="00F902C8" w:rsidRPr="00FD6F7B" w:rsidP="00F902C8" w14:paraId="76D32DD0" w14:textId="77777777">
      <w:pPr>
        <w:pStyle w:val="NormalHanging12a"/>
        <w:rPr>
          <w:spacing w:val="-2"/>
        </w:rPr>
      </w:pPr>
      <w:r w:rsidRPr="00FD6F7B">
        <w:t>3.</w:t>
      </w:r>
      <w:r w:rsidRPr="00FD6F7B">
        <w:tab/>
        <w:t>podsjeća da je dijete prije svega dijete i da bi se prema njemu trebalo postupati na odgovarajući način te poziva države članice da osiguraju da najbolji interes djeteta uvijek bude na prvome mjestu;</w:t>
      </w:r>
    </w:p>
    <w:p w:rsidR="00F902C8" w:rsidRPr="00FD6F7B" w:rsidP="00F902C8" w14:paraId="1E916C0A" w14:textId="77777777">
      <w:pPr>
        <w:pStyle w:val="NormalHanging12a"/>
      </w:pPr>
      <w:r w:rsidRPr="00FD6F7B">
        <w:t>4.</w:t>
      </w:r>
      <w:r w:rsidRPr="00FD6F7B">
        <w:tab/>
        <w:t>poziva Komisiju i države članice da kao prioritetno područje u predstojećem akcijskom planu EU-a za zaštitu djece od kriminala izričito prepoznaju prevenciju i odgovore na novačenje djece koje provode organizirane kriminalne i terorističke skupine; poziva na to da se u taj akcijski plan uključi poseban stup prevencije s mehanizmima ranog upozoravanja koji uključuju škole, socijalne službe i obitelji te pristup usmjeren na mlade i usredotočen na razvoj životnih vještina zahvaljujući izravnom angažmanu u zajednici;</w:t>
      </w:r>
    </w:p>
    <w:p w:rsidR="00F902C8" w:rsidRPr="00FD6F7B" w:rsidP="00F902C8" w14:paraId="4BEA8FA1" w14:textId="77777777">
      <w:pPr>
        <w:pStyle w:val="NormalHanging12a"/>
        <w:rPr>
          <w:spacing w:val="-2"/>
        </w:rPr>
      </w:pPr>
      <w:r w:rsidRPr="00FD6F7B">
        <w:t>5.</w:t>
      </w:r>
      <w:r w:rsidRPr="00FD6F7B">
        <w:tab/>
        <w:t xml:space="preserve">poziva Komisiju da i u predstojećem zakonodavnom prijedlogu za modernizirana pravila o organiziranom kriminalu obradi pitanje novačenja djece od strane organiziranih kriminalnih skupina; poziva Komisiju da razmotri uključivanje posebnih </w:t>
      </w:r>
      <w:r w:rsidRPr="00FD6F7B">
        <w:t>odredbi u taj prijedlog, kao što su otegotne okolnosti za novačenje djece; u tom pogledu ponavlja svoj poziv na uspostavu nove zajedničke definicije „zločinačkog udruženja” kojom se također uzima u obzir upotreba nasilja, korupcije ili zastrašivanja od strane kriminalnih skupina;</w:t>
      </w:r>
    </w:p>
    <w:p w:rsidR="00F902C8" w:rsidRPr="00FD6F7B" w:rsidP="00F902C8" w14:paraId="0094DEB8" w14:textId="77777777">
      <w:pPr>
        <w:pStyle w:val="NormalHanging12a"/>
        <w:rPr>
          <w:spacing w:val="-2"/>
        </w:rPr>
      </w:pPr>
      <w:r w:rsidRPr="00FD6F7B">
        <w:t>6.</w:t>
      </w:r>
      <w:r w:rsidRPr="00FD6F7B">
        <w:tab/>
        <w:t>poziva Komisiju da što prije objavi zakonodavni prijedlog za reviziju Direktive EU-a o pirotehničkim sredstvima</w:t>
      </w:r>
      <w:r>
        <w:rPr>
          <w:rStyle w:val="FootnoteReference"/>
        </w:rPr>
        <w:footnoteReference w:id="7"/>
      </w:r>
      <w:r w:rsidRPr="00FD6F7B">
        <w:t xml:space="preserve"> kako bi se riješilo pitanje uporabe pirotehničkih sredstava kao oružja, uključujući iskorištavanje ugroženih mladih ljudi; potiče države članice da pojačaju suradnju s </w:t>
      </w:r>
      <w:r w:rsidRPr="00FD6F7B">
        <w:t>Europolom</w:t>
      </w:r>
      <w:r w:rsidRPr="00FD6F7B">
        <w:t xml:space="preserve"> i </w:t>
      </w:r>
      <w:r w:rsidRPr="00FD6F7B">
        <w:t>Eurojustom</w:t>
      </w:r>
      <w:r w:rsidRPr="00FD6F7B">
        <w:t>, posebno u lukama, logističkim čvorištima i urbanim područjima s ranjivim zajednicama, razmjenom najboljih praksi i pružanjem osposobljavanja za utvrđivanje i prijavljivanje sumnjivih aktivnosti koje uključuju djecu;</w:t>
      </w:r>
    </w:p>
    <w:p w:rsidR="00F902C8" w:rsidRPr="00FD6F7B" w:rsidP="00F902C8" w14:paraId="6A30FA67" w14:textId="77777777">
      <w:pPr>
        <w:pStyle w:val="NormalHanging12a"/>
        <w:rPr>
          <w:spacing w:val="-2"/>
        </w:rPr>
      </w:pPr>
      <w:r w:rsidRPr="00FD6F7B">
        <w:t>7.</w:t>
      </w:r>
      <w:r w:rsidRPr="00FD6F7B">
        <w:tab/>
        <w:t>poziva Komisiju i države članice da prepoznaju zastrašivanje povezano s drogama kao ustaljeni put novačenja u organizirani kriminal; poziva države članice da se pobrinu za to da nacionalne strategije koje se odnose na novačenje djece izričito uključuju međuagencijske odgovore na zastrašivanje povezano s drogama, oslanjajući se na nove modele najboljih praksi;</w:t>
      </w:r>
    </w:p>
    <w:p w:rsidR="00F902C8" w:rsidRPr="00FD6F7B" w:rsidP="00F902C8" w14:paraId="74033F25" w14:textId="77777777">
      <w:pPr>
        <w:pStyle w:val="NormalHanging12a"/>
        <w:rPr>
          <w:bCs/>
          <w:spacing w:val="-2"/>
        </w:rPr>
      </w:pPr>
      <w:r w:rsidRPr="00FD6F7B">
        <w:t>8.</w:t>
      </w:r>
      <w:r w:rsidRPr="00FD6F7B">
        <w:tab/>
        <w:t>potiče na usvajanje pristupa „prevencija na prvome mjestu” i integriranih sustava zaštite koji su usmjereni na djecu, rodno osjetljivi, utemeljeni na informacijama o traumi i međusektorski, s naglaskom na ranoj identifikaciji ugrožene djece, intervencijama na razini zajednice i jačanju obitelji i socijalnih usluga; ističe pozitivnu ulogu sporta, obrazovnih udruga i organizacija u zajednici u pružanju sigurnog, zdravog i uključivog okruženja;</w:t>
      </w:r>
    </w:p>
    <w:p w:rsidR="00F902C8" w:rsidRPr="00FD6F7B" w:rsidP="00F902C8" w14:paraId="3B9A722A" w14:textId="77777777">
      <w:pPr>
        <w:pStyle w:val="NormalHanging12a"/>
      </w:pPr>
      <w:r w:rsidRPr="00FD6F7B">
        <w:t>9.</w:t>
      </w:r>
      <w:r w:rsidRPr="00FD6F7B">
        <w:tab/>
        <w:t>smatra da zbog prekogranične prirode organiziranog kriminala isključivo nacionalni odgovori u području zaštite žrtava nisu prikladni za djecu i mlade; poziva na pojačanu suradnju među sektorima sigurnosti, pravosuđa, zaštite djece, obrazovanja i zdravstva, kao i na javno-privatna partnerstva, kako bi se osigurali integrirani i međusektorski okviri zaštićenog okruženja za djecu, na internetu i izvan njega;</w:t>
      </w:r>
    </w:p>
    <w:p w:rsidR="00F902C8" w:rsidRPr="00FD6F7B" w:rsidP="00F902C8" w14:paraId="2F1A9BB0" w14:textId="77777777">
      <w:pPr>
        <w:pStyle w:val="NormalHanging12a"/>
        <w:rPr>
          <w:spacing w:val="-2"/>
        </w:rPr>
      </w:pPr>
      <w:r w:rsidRPr="00FD6F7B">
        <w:t>10.</w:t>
      </w:r>
      <w:r w:rsidRPr="00FD6F7B">
        <w:tab/>
        <w:t>naglašava da je internetska dimenzija novačenja djece sada ključna za operativne modele organiziranih kriminalnih i terorističkih skupina koje sustavno iskorištavaju digitalne usluge za identifikaciju, ciljanje, mamljenje, manipuliranje i prisiljavanje djece; naglašava da činjenica da organizirane kriminalne mreže novače djecu na internetu stvara znatne nedostatke u provedbi zakonodavstva zbog ograničene suradnje platformi; poziva Komisiju i države članice da osiguraju provedbu sadašnjih obveza za platforme;</w:t>
      </w:r>
    </w:p>
    <w:p w:rsidR="00F902C8" w:rsidRPr="00FD6F7B" w:rsidP="00F902C8" w14:paraId="2AD36E07" w14:textId="77777777">
      <w:pPr>
        <w:pStyle w:val="NormalHanging12a"/>
      </w:pPr>
      <w:r w:rsidRPr="00FD6F7B">
        <w:rPr>
          <w:snapToGrid w:val="0"/>
        </w:rPr>
        <w:t>11.</w:t>
      </w:r>
      <w:r w:rsidRPr="00FD6F7B">
        <w:rPr>
          <w:snapToGrid w:val="0"/>
        </w:rPr>
        <w:tab/>
      </w:r>
      <w:r w:rsidRPr="00FD6F7B">
        <w:t>poziva Komisiju i države članice da osiguraju snažnu i dosljednu provedbu Akta o digitalnim uslugama u skladu s pravima djeteta i u skladu sa smjernicama Komisije o zaštiti maloljetnika;</w:t>
      </w:r>
    </w:p>
    <w:p w:rsidR="00F902C8" w:rsidRPr="00FD6F7B" w:rsidP="00F902C8" w14:paraId="0C30DA23" w14:textId="77777777">
      <w:pPr>
        <w:pStyle w:val="NormalHanging12a"/>
      </w:pPr>
      <w:bookmarkStart w:id="8" w:name="_Hlk231893097"/>
      <w:r w:rsidRPr="00FD6F7B">
        <w:rPr>
          <w:snapToGrid w:val="0"/>
        </w:rPr>
        <w:t>12.</w:t>
      </w:r>
      <w:r w:rsidRPr="00FD6F7B">
        <w:rPr>
          <w:snapToGrid w:val="0"/>
        </w:rPr>
        <w:tab/>
      </w:r>
      <w:r w:rsidRPr="00FD6F7B">
        <w:t xml:space="preserve">poziva Komisiju da osigura potpunu provedbu digitalnog zakonodavstva EU-a i da, prema potrebi, ojača obveze platformi da poduzmu mjere protiv iskorištavanja i </w:t>
      </w:r>
      <w:r w:rsidRPr="00FD6F7B">
        <w:t>novačenja djece, kao i da ojača zaštitu maloljetnika na internetu predstojećim Aktom o digitalnoj pravednosti, uklanjanjem regulatornih nedostataka u područjima kao što su integrirana sigurnost, zadane vrijednosti prilagođene dobi i ciljane poslovne prakse usmjerene na djecu, osiguravajući pritom da nove mjere ostanu razmjerne, utemeljene na dokazima i usklađene sa širim digitalnim regulatornim okvirom;</w:t>
      </w:r>
      <w:bookmarkEnd w:id="8"/>
    </w:p>
    <w:p w:rsidR="00F902C8" w:rsidRPr="00FD6F7B" w:rsidP="00F902C8" w14:paraId="492D3127" w14:textId="77777777">
      <w:pPr>
        <w:pStyle w:val="NormalHanging12a"/>
      </w:pPr>
      <w:r w:rsidRPr="00FD6F7B">
        <w:rPr>
          <w:snapToGrid w:val="0"/>
        </w:rPr>
        <w:t>13.</w:t>
      </w:r>
      <w:r w:rsidRPr="00FD6F7B">
        <w:rPr>
          <w:snapToGrid w:val="0"/>
        </w:rPr>
        <w:tab/>
      </w:r>
      <w:r w:rsidRPr="00FD6F7B">
        <w:t xml:space="preserve">naglašava sve veću prijetnju kriminala kao usluge, uključujući nasilje kao uslugu, kojim se mladi novače na internetu za provedbu nasilnih zadaća; pozdravlja </w:t>
      </w:r>
      <w:r w:rsidRPr="00FD6F7B">
        <w:t>Europolovu</w:t>
      </w:r>
      <w:r w:rsidRPr="00FD6F7B">
        <w:t xml:space="preserve"> operativnu radnu skupinu GRIMM i poziva države članice, </w:t>
      </w:r>
      <w:r w:rsidRPr="00FD6F7B">
        <w:t>Europol</w:t>
      </w:r>
      <w:r w:rsidRPr="00FD6F7B">
        <w:t xml:space="preserve"> i </w:t>
      </w:r>
      <w:r w:rsidRPr="00FD6F7B">
        <w:t>Eurojust</w:t>
      </w:r>
      <w:r w:rsidRPr="00FD6F7B">
        <w:t xml:space="preserve"> da ojačaju zajedničke istrage usmjerene na subjekte koji novače, poticatelje i aktere na visokoj razini, a ne da ograničavaju provedbene mjere na maloljetnike koji izvršavaju kaznena djela;</w:t>
      </w:r>
    </w:p>
    <w:p w:rsidR="00F902C8" w:rsidRPr="00FD6F7B" w:rsidP="00F902C8" w14:paraId="65C38719" w14:textId="1C7A3EF0">
      <w:pPr>
        <w:pStyle w:val="NormalHanging12a"/>
      </w:pPr>
      <w:r w:rsidRPr="00FD6F7B">
        <w:rPr>
          <w:snapToGrid w:val="0"/>
        </w:rPr>
        <w:t>14.</w:t>
      </w:r>
      <w:r w:rsidRPr="00FD6F7B">
        <w:rPr>
          <w:snapToGrid w:val="0"/>
        </w:rPr>
        <w:tab/>
      </w:r>
      <w:r w:rsidRPr="00FD6F7B">
        <w:t xml:space="preserve">naglašava da se </w:t>
      </w:r>
      <w:r w:rsidR="0017717C">
        <w:t xml:space="preserve">s </w:t>
      </w:r>
      <w:r w:rsidRPr="00FD6F7B">
        <w:t>djec</w:t>
      </w:r>
      <w:r w:rsidR="0017717C">
        <w:t>om</w:t>
      </w:r>
      <w:r w:rsidRPr="00FD6F7B">
        <w:t xml:space="preserve"> uključen</w:t>
      </w:r>
      <w:r w:rsidR="0017717C">
        <w:t>om</w:t>
      </w:r>
      <w:r w:rsidRPr="00FD6F7B">
        <w:t xml:space="preserve"> u kriminalne aktivnosti kao rezultat novačenja mora postupati u skladu s međunarodnim standardima; podsjeća da je suradnja s nasilnim skupinama često potaknuta postupnom prisilom i grupnom dinamikom, a ne ideološkim pridržavanjem;</w:t>
      </w:r>
    </w:p>
    <w:p w:rsidR="0017717C" w:rsidRPr="0017717C" w:rsidP="00F902C8" w14:paraId="278A52E6" w14:textId="2B6DF1D9">
      <w:pPr>
        <w:pStyle w:val="NormalHanging12a"/>
        <w:rPr>
          <w:bCs/>
          <w:iCs/>
          <w:snapToGrid w:val="0"/>
        </w:rPr>
      </w:pPr>
      <w:r w:rsidRPr="0017717C">
        <w:rPr>
          <w:bCs/>
          <w:iCs/>
        </w:rPr>
        <w:t>1</w:t>
      </w:r>
      <w:r>
        <w:rPr>
          <w:bCs/>
          <w:iCs/>
        </w:rPr>
        <w:t>5</w:t>
      </w:r>
      <w:r w:rsidRPr="0017717C">
        <w:rPr>
          <w:bCs/>
          <w:iCs/>
        </w:rPr>
        <w:t>.</w:t>
      </w:r>
      <w:r w:rsidRPr="0017717C">
        <w:rPr>
          <w:bCs/>
          <w:iCs/>
        </w:rPr>
        <w:tab/>
        <w:t>naglašava da se uvijek moraju uzeti u obzir pojedinačne okolnosti svakog slučaja, uključujući prisilu ili iskorištavanje, kao i ozbiljnost počinjenog kaznenog djela, razinu rizika koju počinitelj predstavlja za javnu sigurnost te primjenjivo pravo EU-a i nacionalno pravo;</w:t>
      </w:r>
    </w:p>
    <w:p w:rsidR="00F902C8" w:rsidRPr="00FD6F7B" w:rsidP="00F902C8" w14:paraId="1922B36F" w14:textId="18CD4126">
      <w:pPr>
        <w:pStyle w:val="NormalHanging12a"/>
      </w:pPr>
      <w:r w:rsidRPr="00FD6F7B">
        <w:rPr>
          <w:snapToGrid w:val="0"/>
        </w:rPr>
        <w:t>1</w:t>
      </w:r>
      <w:r w:rsidR="0017717C">
        <w:rPr>
          <w:snapToGrid w:val="0"/>
        </w:rPr>
        <w:t>6</w:t>
      </w:r>
      <w:r w:rsidRPr="00FD6F7B">
        <w:rPr>
          <w:snapToGrid w:val="0"/>
        </w:rPr>
        <w:t>.</w:t>
      </w:r>
      <w:r w:rsidRPr="00FD6F7B">
        <w:rPr>
          <w:snapToGrid w:val="0"/>
        </w:rPr>
        <w:tab/>
      </w:r>
      <w:r w:rsidRPr="00FD6F7B">
        <w:t xml:space="preserve">poziva na uspostavu pravosudnih sustava prilagođenih djeci, rodno osjetljivih i utemeljenih na informacijama o traumama te prilagođenih međusektorskih programa reintegracije utemeljenih na informacijama o traumama, uključujući pristup obrazovanju, potpori za mentalno zdravlje i psihosocijalnoj potpori te uslugama oporavka i rehabilitacije, zaštiti od odmazde, među ostalim za obitelji, načinima za dostojanstveno zapošljavanje i mjerama za sprečavanje stigmatizacije i opetovanog novačenja; podsjeća da bi se u skladu s Direktivom (EU) 2016/800 lišavanje slobode djeteta, posebno u obliku pritvora, trebalo izreći samo kao krajnja mjera i da bi, ako je to moguće, nadležna tijela država članica trebala provesti alternativne mjere; napominje da se u određenim državama članicama </w:t>
      </w:r>
      <w:r w:rsidRPr="00FD6F7B">
        <w:t>restorativna</w:t>
      </w:r>
      <w:r w:rsidRPr="00FD6F7B">
        <w:t xml:space="preserve"> pravda pokazala učinkovitom;</w:t>
      </w:r>
    </w:p>
    <w:p w:rsidR="00F902C8" w:rsidRPr="00FD6F7B" w:rsidP="00F902C8" w14:paraId="634A6BA2" w14:textId="15491EFB">
      <w:pPr>
        <w:pStyle w:val="NormalHanging12a"/>
      </w:pPr>
      <w:r w:rsidRPr="00FD6F7B">
        <w:rPr>
          <w:snapToGrid w:val="0"/>
        </w:rPr>
        <w:t>1</w:t>
      </w:r>
      <w:r w:rsidR="0017717C">
        <w:rPr>
          <w:snapToGrid w:val="0"/>
        </w:rPr>
        <w:t>7</w:t>
      </w:r>
      <w:r w:rsidRPr="00FD6F7B">
        <w:rPr>
          <w:snapToGrid w:val="0"/>
        </w:rPr>
        <w:t>.</w:t>
      </w:r>
      <w:r w:rsidRPr="00FD6F7B">
        <w:rPr>
          <w:snapToGrid w:val="0"/>
        </w:rPr>
        <w:tab/>
      </w:r>
      <w:r w:rsidRPr="00FD6F7B">
        <w:t xml:space="preserve">potiče države članice da poboljšaju </w:t>
      </w:r>
      <w:r w:rsidRPr="00FD6F7B">
        <w:t>interoperabilno</w:t>
      </w:r>
      <w:r w:rsidRPr="00FD6F7B">
        <w:t>, međusektorsko prikupljanje i razmjenu podataka o novačenju djece u organizirane kriminalne i terorističke skupine, uključujući raščlanjene i usklađene podatke na razini EU-a, kako bi se bolje razumjeli trendovi i faktori rizika; naglašava da svako prikupljanje, obrada ili razmjena podataka koji se odnose na djecu mora u potpunosti biti u skladu s pravilima o zaštiti podataka i načelom nediskriminacije;</w:t>
      </w:r>
    </w:p>
    <w:p w:rsidR="00F902C8" w:rsidRPr="00FD6F7B" w:rsidP="00F902C8" w14:paraId="39101C8A" w14:textId="3136444C">
      <w:pPr>
        <w:pStyle w:val="NormalHanging12a"/>
      </w:pPr>
      <w:r w:rsidRPr="00FD6F7B">
        <w:rPr>
          <w:snapToGrid w:val="0"/>
        </w:rPr>
        <w:t>1</w:t>
      </w:r>
      <w:r w:rsidR="0017717C">
        <w:rPr>
          <w:snapToGrid w:val="0"/>
        </w:rPr>
        <w:t>8</w:t>
      </w:r>
      <w:r w:rsidRPr="00FD6F7B">
        <w:rPr>
          <w:snapToGrid w:val="0"/>
        </w:rPr>
        <w:t>.</w:t>
      </w:r>
      <w:r w:rsidRPr="00FD6F7B">
        <w:rPr>
          <w:snapToGrid w:val="0"/>
        </w:rPr>
        <w:tab/>
      </w:r>
      <w:r w:rsidRPr="00FD6F7B">
        <w:t xml:space="preserve">podržava jačanje uspješnih inicijativa utemeljenih na dokazima, kao što su projekt STRIVE </w:t>
      </w:r>
      <w:r w:rsidRPr="00FD6F7B">
        <w:t>Juvenile</w:t>
      </w:r>
      <w:r w:rsidRPr="00FD6F7B">
        <w:t xml:space="preserve"> EU-a i UNODC-a kao i njegov strateški sljednik, inicijativa EU-a i UNODC-a za zaštitu budućnosti, među ostalim u nestabilnim kontekstima pogođenima sukobima;</w:t>
      </w:r>
    </w:p>
    <w:p w:rsidR="00F902C8" w:rsidRPr="00FD6F7B" w:rsidP="00F902C8" w14:paraId="3A23A92F" w14:textId="09E6EB88">
      <w:pPr>
        <w:pStyle w:val="NormalHanging12a"/>
      </w:pPr>
      <w:r w:rsidRPr="00FD6F7B">
        <w:rPr>
          <w:snapToGrid w:val="0"/>
        </w:rPr>
        <w:t>1</w:t>
      </w:r>
      <w:r w:rsidR="0017717C">
        <w:rPr>
          <w:snapToGrid w:val="0"/>
        </w:rPr>
        <w:t>9</w:t>
      </w:r>
      <w:r w:rsidRPr="00FD6F7B">
        <w:rPr>
          <w:snapToGrid w:val="0"/>
        </w:rPr>
        <w:t>.</w:t>
      </w:r>
      <w:r w:rsidRPr="00FD6F7B">
        <w:rPr>
          <w:snapToGrid w:val="0"/>
        </w:rPr>
        <w:tab/>
      </w:r>
      <w:r w:rsidRPr="00FD6F7B">
        <w:t>poziva na snažniju međunarodnu suradnju s partnerskim zemljama kako bi se riješio problem prekograničnih mreža za novačenje i spriječila eksternalizacija izrabljivanja u kriminalne svrhe;</w:t>
      </w:r>
    </w:p>
    <w:p w:rsidR="00F902C8" w:rsidRPr="00FD6F7B" w:rsidP="00F902C8" w14:paraId="051E3BC1" w14:textId="7AE684AA">
      <w:pPr>
        <w:pStyle w:val="NormalHanging12a"/>
      </w:pPr>
      <w:r>
        <w:rPr>
          <w:snapToGrid w:val="0"/>
        </w:rPr>
        <w:t>20</w:t>
      </w:r>
      <w:r w:rsidRPr="00FD6F7B">
        <w:rPr>
          <w:snapToGrid w:val="0"/>
        </w:rPr>
        <w:t>.</w:t>
      </w:r>
      <w:r w:rsidRPr="00FD6F7B">
        <w:rPr>
          <w:snapToGrid w:val="0"/>
        </w:rPr>
        <w:tab/>
      </w:r>
      <w:r w:rsidRPr="00FD6F7B">
        <w:t xml:space="preserve">naglašava da se u okviru takve suradnje posebna pozornost mora posvetiti djeci u </w:t>
      </w:r>
      <w:r w:rsidRPr="00FD6F7B">
        <w:t>situacijama povećane ugroženosti, uključujući djecu bez pratnje i djecu migrante, te se mora osigurati pristup sigurnim kanalima za podnošenje prijava, skrbništvu, pravnoj pomoći i prekograničnim mehanizmima za zaštitu djece utemeljenima na pravima;</w:t>
      </w:r>
    </w:p>
    <w:p w:rsidR="00F902C8" w:rsidRPr="00FD6F7B" w:rsidP="00F902C8" w14:paraId="73E7201F" w14:textId="787C59CD">
      <w:pPr>
        <w:pStyle w:val="NormalHanging12a"/>
      </w:pPr>
      <w:r w:rsidRPr="00FD6F7B">
        <w:rPr>
          <w:snapToGrid w:val="0"/>
        </w:rPr>
        <w:t>2</w:t>
      </w:r>
      <w:r w:rsidR="0017717C">
        <w:rPr>
          <w:snapToGrid w:val="0"/>
        </w:rPr>
        <w:t>1</w:t>
      </w:r>
      <w:r w:rsidRPr="00FD6F7B">
        <w:rPr>
          <w:snapToGrid w:val="0"/>
        </w:rPr>
        <w:t>.</w:t>
      </w:r>
      <w:r w:rsidRPr="00FD6F7B">
        <w:rPr>
          <w:snapToGrid w:val="0"/>
        </w:rPr>
        <w:tab/>
      </w:r>
      <w:r w:rsidRPr="00FD6F7B">
        <w:t>naglašava važnost rješavanja temeljnih uzroka, uključujući siromaštvo, nejednakost, isključenost, nedostatak obrazovanja i izloženost nasilju te nedovoljna ulaganja u javne usluge; poziva Komisiju i države članice da povećaju financijsku potporu organizacijama civilnog društva, inicijativama u zajednici, sportskim udrugama i obrazovnim programima u područjima koja su najizloženija novačenju od strane organiziranih kriminalnih mreža, nudeći vjerodostojne alternative kriminalnim putovima;</w:t>
      </w:r>
    </w:p>
    <w:p w:rsidR="00F902C8" w:rsidRPr="00FD6F7B" w:rsidP="00F902C8" w14:paraId="04C82A45" w14:textId="558E0AFA">
      <w:pPr>
        <w:pStyle w:val="NormalHanging12a"/>
      </w:pPr>
      <w:r w:rsidRPr="00FD6F7B">
        <w:rPr>
          <w:snapToGrid w:val="0"/>
        </w:rPr>
        <w:t>2</w:t>
      </w:r>
      <w:r w:rsidR="0017717C">
        <w:rPr>
          <w:snapToGrid w:val="0"/>
        </w:rPr>
        <w:t>2</w:t>
      </w:r>
      <w:r w:rsidRPr="00FD6F7B">
        <w:rPr>
          <w:snapToGrid w:val="0"/>
        </w:rPr>
        <w:t>.</w:t>
      </w:r>
      <w:r w:rsidRPr="00FD6F7B">
        <w:rPr>
          <w:snapToGrid w:val="0"/>
        </w:rPr>
        <w:tab/>
      </w:r>
      <w:r w:rsidRPr="00FD6F7B">
        <w:t>izražava posebnu zabrinutost zbog toga što organizirane kriminalne mreže nerazmjerno ciljaju i iskorištavaju djevojčice i mlade žene, među ostalim mamljenjem, trgovanjem ljudima i seksualnim iskorištavanjem; naglašava da se djevojčice suočavaju sa specifičnim preprekama u izbjegavanju kriminalne prisile i pristupu pravosuđu, oporavku i reintegraciji te poziva države članice da osiguraju da sve mjere prevencije, zaštite i potpore budu rodno osjetljive i da se njima posebno rješavaju ranjivosti i potrebe djevojčica; u tom pogledu podsjeća na obveze utvrđene u Direktivi o suzbijanju trgovanja ljudima</w:t>
      </w:r>
      <w:r>
        <w:rPr>
          <w:rStyle w:val="FootnoteReference"/>
        </w:rPr>
        <w:footnoteReference w:id="8"/>
      </w:r>
      <w:r w:rsidRPr="00FD6F7B">
        <w:t>;</w:t>
      </w:r>
    </w:p>
    <w:p w:rsidR="00F902C8" w:rsidRPr="00FD6F7B" w:rsidP="00F902C8" w14:paraId="0E0A46DA" w14:textId="7F753544">
      <w:pPr>
        <w:pStyle w:val="NormalHanging12a"/>
      </w:pPr>
      <w:r w:rsidRPr="00FD6F7B">
        <w:rPr>
          <w:snapToGrid w:val="0"/>
        </w:rPr>
        <w:t>2</w:t>
      </w:r>
      <w:r w:rsidR="0017717C">
        <w:rPr>
          <w:snapToGrid w:val="0"/>
        </w:rPr>
        <w:t>3</w:t>
      </w:r>
      <w:r w:rsidRPr="00FD6F7B">
        <w:rPr>
          <w:snapToGrid w:val="0"/>
        </w:rPr>
        <w:t>.</w:t>
      </w:r>
      <w:r w:rsidRPr="00FD6F7B">
        <w:rPr>
          <w:snapToGrid w:val="0"/>
        </w:rPr>
        <w:tab/>
      </w:r>
      <w:r w:rsidRPr="00FD6F7B">
        <w:t xml:space="preserve">poziva Komisiju i države članice da dodijele odgovarajuća sredstva u okviru relevantnih programa EU-a kako bi se spriječilo i učinkovito odgovorilo na novačenje djece koje provode organizirane kriminalne i terorističke skupine, a posebno kako bi se pružila potpora dežurnoj mreži za 116 000 nestale djece kao ključnim </w:t>
      </w:r>
      <w:r w:rsidRPr="00FD6F7B">
        <w:t>višeagencijskim</w:t>
      </w:r>
      <w:r w:rsidRPr="00FD6F7B">
        <w:t xml:space="preserve"> partnerima u utvrđivanju ugrožene djece;</w:t>
      </w:r>
    </w:p>
    <w:p w:rsidR="00E365E1" w:rsidRPr="00FD6F7B" w:rsidP="00FD6F7B" w14:paraId="55001261" w14:textId="4E895FD9">
      <w:pPr>
        <w:ind w:left="567" w:hanging="567"/>
      </w:pPr>
      <w:r w:rsidRPr="00FD6F7B">
        <w:rPr>
          <w:snapToGrid w:val="0"/>
        </w:rPr>
        <w:t>2</w:t>
      </w:r>
      <w:r w:rsidR="0017717C">
        <w:rPr>
          <w:snapToGrid w:val="0"/>
        </w:rPr>
        <w:t>4</w:t>
      </w:r>
      <w:r w:rsidRPr="00FD6F7B">
        <w:rPr>
          <w:snapToGrid w:val="0"/>
        </w:rPr>
        <w:t>.</w:t>
      </w:r>
      <w:r w:rsidRPr="00FD6F7B">
        <w:rPr>
          <w:snapToGrid w:val="0"/>
        </w:rPr>
        <w:tab/>
      </w:r>
      <w:r w:rsidRPr="00FD6F7B">
        <w:t xml:space="preserve">nalaže svojoj predsjednici da ovu Rezoluciju proslijedi Vijeću, Komisiji, vladama i parlamentima država članica, </w:t>
      </w:r>
      <w:r w:rsidRPr="00FD6F7B">
        <w:t>Europolu</w:t>
      </w:r>
      <w:r w:rsidRPr="00FD6F7B">
        <w:t xml:space="preserve"> i Uredu Ujedinjenih naroda za droge i kriminal.</w:t>
      </w:r>
    </w:p>
    <w:sectPr w:rsidSect="00E45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452BB" w14:paraId="158AFD6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452BB" w14:paraId="69A275C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452BB" w14:paraId="684CE47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E2D0A" w:rsidRPr="00E452BB" w14:paraId="77822414" w14:textId="77777777">
      <w:r w:rsidRPr="00E452BB">
        <w:separator/>
      </w:r>
    </w:p>
  </w:footnote>
  <w:footnote w:type="continuationSeparator" w:id="1">
    <w:p w:rsidR="006E2D0A" w:rsidRPr="00E452BB" w14:paraId="1548973E" w14:textId="77777777">
      <w:r w:rsidRPr="00E452BB">
        <w:continuationSeparator/>
      </w:r>
    </w:p>
  </w:footnote>
  <w:footnote w:id="2">
    <w:p w:rsidR="00F902C8" w:rsidRPr="00E452BB" w:rsidP="00E452BB" w14:paraId="0C3AD553" w14:textId="330AEBF0">
      <w:pPr>
        <w:pStyle w:val="FootnoteText"/>
        <w:ind w:left="567" w:hanging="567"/>
        <w:rPr>
          <w:sz w:val="24"/>
          <w:lang w:val="hr-HR"/>
        </w:rPr>
      </w:pPr>
      <w:r w:rsidRPr="00E452BB">
        <w:rPr>
          <w:rStyle w:val="FootnoteReference"/>
          <w:sz w:val="24"/>
          <w:lang w:val="hr-HR"/>
        </w:rPr>
        <w:footnoteRef/>
      </w:r>
      <w:r w:rsidRPr="00E452BB" w:rsidR="00E452BB">
        <w:rPr>
          <w:sz w:val="24"/>
          <w:lang w:val="hr-HR"/>
        </w:rPr>
        <w:t xml:space="preserve"> </w:t>
      </w:r>
      <w:r w:rsidRPr="00E452BB" w:rsidR="00E452BB">
        <w:rPr>
          <w:sz w:val="24"/>
          <w:lang w:val="hr-HR"/>
        </w:rPr>
        <w:tab/>
      </w:r>
      <w:r w:rsidRPr="00E452BB">
        <w:rPr>
          <w:sz w:val="24"/>
          <w:lang w:val="hr-HR"/>
        </w:rPr>
        <w:t xml:space="preserve">SL L 277, 27.10.2022., str. 1., ELI: </w:t>
      </w:r>
      <w:hyperlink r:id="rId1" w:history="1">
        <w:r w:rsidRPr="00E452BB">
          <w:rPr>
            <w:rStyle w:val="Hyperlink"/>
            <w:sz w:val="24"/>
            <w:lang w:val="hr-HR"/>
          </w:rPr>
          <w:t>http://data.europa.eu/eli/reg/2022/2065/oj</w:t>
        </w:r>
      </w:hyperlink>
      <w:r w:rsidRPr="00E452BB">
        <w:rPr>
          <w:sz w:val="24"/>
          <w:lang w:val="hr-HR"/>
        </w:rPr>
        <w:t>.</w:t>
      </w:r>
    </w:p>
  </w:footnote>
  <w:footnote w:id="3">
    <w:p w:rsidR="00F902C8" w:rsidRPr="00E452BB" w:rsidP="00E452BB" w14:paraId="481682E8" w14:textId="31F878B1">
      <w:pPr>
        <w:pStyle w:val="FootnoteText"/>
        <w:ind w:left="567" w:hanging="567"/>
        <w:rPr>
          <w:sz w:val="24"/>
          <w:lang w:val="hr-HR"/>
        </w:rPr>
      </w:pPr>
      <w:r w:rsidRPr="00E452BB">
        <w:rPr>
          <w:rStyle w:val="FootnoteReference"/>
          <w:sz w:val="24"/>
          <w:szCs w:val="16"/>
          <w:lang w:val="hr-HR"/>
        </w:rPr>
        <w:footnoteRef/>
      </w:r>
      <w:r w:rsidRPr="00E452BB" w:rsidR="00E452BB">
        <w:rPr>
          <w:sz w:val="24"/>
          <w:lang w:val="hr-HR"/>
        </w:rPr>
        <w:t xml:space="preserve"> </w:t>
      </w:r>
      <w:r w:rsidRPr="00E452BB" w:rsidR="00E452BB">
        <w:rPr>
          <w:sz w:val="24"/>
          <w:lang w:val="hr-HR"/>
        </w:rPr>
        <w:tab/>
      </w:r>
      <w:r w:rsidRPr="00E452BB">
        <w:rPr>
          <w:sz w:val="24"/>
          <w:lang w:val="hr-HR"/>
        </w:rPr>
        <w:t xml:space="preserve">SL C, C/2025/5519, 10.10.2025., ELI: </w:t>
      </w:r>
      <w:hyperlink r:id="rId2" w:history="1">
        <w:r w:rsidRPr="00E452BB">
          <w:rPr>
            <w:rStyle w:val="Hyperlink"/>
            <w:sz w:val="24"/>
            <w:lang w:val="hr-HR"/>
          </w:rPr>
          <w:t>http://data.europa.eu/eli/C/2025/5519/oj</w:t>
        </w:r>
      </w:hyperlink>
      <w:r w:rsidRPr="00E452BB">
        <w:rPr>
          <w:sz w:val="24"/>
          <w:lang w:val="hr-HR"/>
        </w:rPr>
        <w:t xml:space="preserve">. </w:t>
      </w:r>
    </w:p>
  </w:footnote>
  <w:footnote w:id="4">
    <w:p w:rsidR="00F902C8" w:rsidRPr="00E452BB" w:rsidP="00E452BB" w14:paraId="22A8C923" w14:textId="03854351">
      <w:pPr>
        <w:pStyle w:val="FootnoteText"/>
        <w:ind w:left="567" w:hanging="567"/>
        <w:rPr>
          <w:sz w:val="24"/>
          <w:lang w:val="hr-HR"/>
        </w:rPr>
      </w:pPr>
      <w:r w:rsidRPr="00E452BB">
        <w:rPr>
          <w:rStyle w:val="FootnoteReference"/>
          <w:sz w:val="24"/>
          <w:lang w:val="hr-HR"/>
        </w:rPr>
        <w:footnoteRef/>
      </w:r>
      <w:r w:rsidRPr="00E452BB" w:rsidR="00E452BB">
        <w:rPr>
          <w:sz w:val="24"/>
          <w:lang w:val="hr-HR"/>
        </w:rPr>
        <w:t xml:space="preserve"> </w:t>
      </w:r>
      <w:r w:rsidRPr="00E452BB" w:rsidR="00E452BB">
        <w:rPr>
          <w:sz w:val="24"/>
          <w:lang w:val="hr-HR"/>
        </w:rPr>
        <w:tab/>
      </w:r>
      <w:r w:rsidRPr="00E452BB">
        <w:rPr>
          <w:sz w:val="24"/>
          <w:lang w:val="hr-HR"/>
        </w:rPr>
        <w:t>Usvojeni tekstovi, P10_TA(2026)0007.</w:t>
      </w:r>
    </w:p>
  </w:footnote>
  <w:footnote w:id="5">
    <w:p w:rsidR="00F902C8" w:rsidRPr="00E452BB" w:rsidP="00E452BB" w14:paraId="403908CD" w14:textId="46766410">
      <w:pPr>
        <w:pStyle w:val="FootnoteText"/>
        <w:ind w:left="567" w:hanging="567"/>
        <w:rPr>
          <w:sz w:val="24"/>
          <w:lang w:val="hr-HR"/>
        </w:rPr>
      </w:pPr>
      <w:r w:rsidRPr="00E452BB">
        <w:rPr>
          <w:rStyle w:val="FootnoteReference"/>
          <w:sz w:val="24"/>
          <w:lang w:val="hr-HR"/>
        </w:rPr>
        <w:footnoteRef/>
      </w:r>
      <w:r w:rsidRPr="00E452BB" w:rsidR="00E452BB">
        <w:rPr>
          <w:sz w:val="24"/>
          <w:lang w:val="hr-HR"/>
        </w:rPr>
        <w:t xml:space="preserve"> </w:t>
      </w:r>
      <w:r w:rsidRPr="00E452BB" w:rsidR="00E452BB">
        <w:rPr>
          <w:sz w:val="24"/>
          <w:lang w:val="hr-HR"/>
        </w:rPr>
        <w:tab/>
      </w:r>
      <w:r w:rsidRPr="00E452BB">
        <w:rPr>
          <w:sz w:val="24"/>
          <w:lang w:val="hr-HR"/>
        </w:rPr>
        <w:t xml:space="preserve">SL L 132, 21.5.2016., str. 1., ELI: </w:t>
      </w:r>
      <w:hyperlink r:id="rId3" w:history="1">
        <w:r w:rsidRPr="00E452BB">
          <w:rPr>
            <w:rStyle w:val="Hyperlink"/>
            <w:sz w:val="24"/>
            <w:lang w:val="hr-HR"/>
          </w:rPr>
          <w:t>http://data.europa.eu/eli/dir/2016/800/oj</w:t>
        </w:r>
      </w:hyperlink>
      <w:r w:rsidRPr="00E452BB">
        <w:rPr>
          <w:sz w:val="24"/>
          <w:lang w:val="hr-HR"/>
        </w:rPr>
        <w:t>.</w:t>
      </w:r>
    </w:p>
  </w:footnote>
  <w:footnote w:id="6">
    <w:p w:rsidR="00F902C8" w:rsidRPr="00E452BB" w:rsidP="00E452BB" w14:paraId="67136614" w14:textId="0B229036">
      <w:pPr>
        <w:pStyle w:val="FootnoteText"/>
        <w:ind w:left="567" w:hanging="567"/>
        <w:rPr>
          <w:sz w:val="24"/>
          <w:lang w:val="hr-HR"/>
        </w:rPr>
      </w:pPr>
      <w:r w:rsidRPr="00E452BB">
        <w:rPr>
          <w:rStyle w:val="FootnoteReference"/>
          <w:sz w:val="24"/>
          <w:lang w:val="hr-HR"/>
        </w:rPr>
        <w:footnoteRef/>
      </w:r>
      <w:r w:rsidRPr="00E452BB" w:rsidR="00E452BB">
        <w:rPr>
          <w:sz w:val="24"/>
          <w:lang w:val="hr-HR"/>
        </w:rPr>
        <w:t xml:space="preserve"> </w:t>
      </w:r>
      <w:r w:rsidRPr="00E452BB" w:rsidR="00E452BB">
        <w:rPr>
          <w:sz w:val="24"/>
          <w:lang w:val="hr-HR"/>
        </w:rPr>
        <w:tab/>
      </w:r>
      <w:r w:rsidRPr="00E452BB">
        <w:rPr>
          <w:sz w:val="24"/>
          <w:lang w:val="hr-HR"/>
        </w:rPr>
        <w:t xml:space="preserve">Izvješće </w:t>
      </w:r>
      <w:r w:rsidRPr="00E452BB">
        <w:rPr>
          <w:sz w:val="24"/>
          <w:lang w:val="hr-HR"/>
        </w:rPr>
        <w:t>Europola</w:t>
      </w:r>
      <w:r w:rsidRPr="00E452BB">
        <w:rPr>
          <w:sz w:val="24"/>
          <w:lang w:val="hr-HR"/>
        </w:rPr>
        <w:t xml:space="preserve"> od 4. travnja 2024. „</w:t>
      </w:r>
      <w:hyperlink r:id="rId4" w:tgtFrame="_blank" w:history="1">
        <w:r w:rsidRPr="00E452BB">
          <w:rPr>
            <w:rStyle w:val="Hyperlink"/>
            <w:sz w:val="24"/>
            <w:lang w:val="hr-HR"/>
          </w:rPr>
          <w:t>Raskrinkavanje najopasnijih kriminalnih mreža u EU-u</w:t>
        </w:r>
      </w:hyperlink>
      <w:r w:rsidRPr="00E452BB">
        <w:rPr>
          <w:sz w:val="24"/>
          <w:lang w:val="hr-HR"/>
        </w:rPr>
        <w:t>”, ažurirano u svibnju 2026.</w:t>
      </w:r>
    </w:p>
  </w:footnote>
  <w:footnote w:id="7">
    <w:p w:rsidR="00F902C8" w:rsidRPr="00E452BB" w:rsidP="00E452BB" w14:paraId="6E4003A6" w14:textId="3C9D3D96">
      <w:pPr>
        <w:pStyle w:val="FootnoteText"/>
        <w:ind w:left="567" w:hanging="567"/>
        <w:rPr>
          <w:sz w:val="24"/>
          <w:lang w:val="hr-HR"/>
        </w:rPr>
      </w:pPr>
      <w:r w:rsidRPr="00E452BB">
        <w:rPr>
          <w:rStyle w:val="FootnoteReference"/>
          <w:sz w:val="24"/>
          <w:lang w:val="hr-HR"/>
        </w:rPr>
        <w:footnoteRef/>
      </w:r>
      <w:r w:rsidRPr="00E452BB" w:rsidR="00E452BB">
        <w:rPr>
          <w:sz w:val="24"/>
          <w:lang w:val="hr-HR"/>
        </w:rPr>
        <w:t xml:space="preserve"> </w:t>
      </w:r>
      <w:r w:rsidRPr="00E452BB" w:rsidR="00E452BB">
        <w:rPr>
          <w:sz w:val="24"/>
          <w:lang w:val="hr-HR"/>
        </w:rPr>
        <w:tab/>
      </w:r>
      <w:r w:rsidRPr="00E452BB">
        <w:rPr>
          <w:sz w:val="24"/>
          <w:lang w:val="hr-HR"/>
        </w:rPr>
        <w:t xml:space="preserve">Direktiva 2013/29/EU Europskog parlamenta i Vijeća od 12. lipnja 2013. o usklađivanju zakonodavstava država članica u odnosu na stavljanje na raspolaganje pirotehničkih sredstava na tržište, (SL L 178, 28.6.2013., str. 27., ELI: </w:t>
      </w:r>
      <w:hyperlink r:id="rId5" w:history="1">
        <w:r w:rsidRPr="00E452BB">
          <w:rPr>
            <w:rStyle w:val="Hyperlink"/>
            <w:sz w:val="24"/>
            <w:lang w:val="hr-HR"/>
          </w:rPr>
          <w:t>http://data.europa.eu/eli/dir/2013/29/oj</w:t>
        </w:r>
      </w:hyperlink>
      <w:r w:rsidRPr="00E452BB">
        <w:rPr>
          <w:sz w:val="24"/>
          <w:lang w:val="hr-HR"/>
        </w:rPr>
        <w:t>).</w:t>
      </w:r>
    </w:p>
  </w:footnote>
  <w:footnote w:id="8">
    <w:p w:rsidR="00F902C8" w:rsidRPr="00E452BB" w:rsidP="00E452BB" w14:paraId="28D8F736" w14:textId="6546DEA9">
      <w:pPr>
        <w:pStyle w:val="FootnoteText"/>
        <w:ind w:left="567" w:hanging="567"/>
        <w:rPr>
          <w:sz w:val="24"/>
          <w:lang w:val="hr-HR"/>
        </w:rPr>
      </w:pPr>
      <w:r w:rsidRPr="00E452BB">
        <w:rPr>
          <w:rStyle w:val="FootnoteReference"/>
          <w:sz w:val="24"/>
          <w:lang w:val="hr-HR"/>
        </w:rPr>
        <w:footnoteRef/>
      </w:r>
      <w:r w:rsidRPr="00E452BB" w:rsidR="00E452BB">
        <w:rPr>
          <w:sz w:val="24"/>
          <w:lang w:val="hr-HR"/>
        </w:rPr>
        <w:t xml:space="preserve"> </w:t>
      </w:r>
      <w:r w:rsidRPr="00E452BB" w:rsidR="00E452BB">
        <w:rPr>
          <w:sz w:val="24"/>
          <w:lang w:val="hr-HR"/>
        </w:rPr>
        <w:tab/>
      </w:r>
      <w:r w:rsidRPr="00E452BB">
        <w:rPr>
          <w:sz w:val="24"/>
          <w:lang w:val="hr-HR"/>
        </w:rPr>
        <w:t xml:space="preserve">Direktiva (EU) 2024/1712 Europskog parlamenta i Vijeća od 13. lipnja 2024. o izmjeni Direktive 2011/36/EU o sprečavanju i suzbijanju trgovanja ljudima i zaštiti njegovih žrtava (SL L, 2024/1712, 24.6.2024., ELI: </w:t>
      </w:r>
      <w:hyperlink r:id="rId6" w:history="1">
        <w:r w:rsidRPr="00E452BB">
          <w:rPr>
            <w:rStyle w:val="Hyperlink"/>
            <w:sz w:val="24"/>
            <w:lang w:val="hr-HR"/>
          </w:rPr>
          <w:t>http://data.europa.eu/eli/dir/2024/1712/oj</w:t>
        </w:r>
      </w:hyperlink>
      <w:r w:rsidRPr="00E452BB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452BB" w14:paraId="32E6450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452BB" w14:paraId="6492B75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452BB" w14:paraId="7E171FD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4553298">
    <w:abstractNumId w:val="9"/>
  </w:num>
  <w:num w:numId="2" w16cid:durableId="1583370406">
    <w:abstractNumId w:val="9"/>
  </w:num>
  <w:num w:numId="3" w16cid:durableId="249390733">
    <w:abstractNumId w:val="7"/>
  </w:num>
  <w:num w:numId="4" w16cid:durableId="1116288892">
    <w:abstractNumId w:val="7"/>
  </w:num>
  <w:num w:numId="5" w16cid:durableId="756754631">
    <w:abstractNumId w:val="6"/>
  </w:num>
  <w:num w:numId="6" w16cid:durableId="327562118">
    <w:abstractNumId w:val="6"/>
  </w:num>
  <w:num w:numId="7" w16cid:durableId="1286699440">
    <w:abstractNumId w:val="5"/>
  </w:num>
  <w:num w:numId="8" w16cid:durableId="2076002058">
    <w:abstractNumId w:val="5"/>
  </w:num>
  <w:num w:numId="9" w16cid:durableId="329675031">
    <w:abstractNumId w:val="4"/>
  </w:num>
  <w:num w:numId="10" w16cid:durableId="1021976296">
    <w:abstractNumId w:val="4"/>
  </w:num>
  <w:num w:numId="11" w16cid:durableId="1830510749">
    <w:abstractNumId w:val="8"/>
  </w:num>
  <w:num w:numId="12" w16cid:durableId="397023532">
    <w:abstractNumId w:val="8"/>
  </w:num>
  <w:num w:numId="13" w16cid:durableId="580062291">
    <w:abstractNumId w:val="3"/>
  </w:num>
  <w:num w:numId="14" w16cid:durableId="227499716">
    <w:abstractNumId w:val="3"/>
  </w:num>
  <w:num w:numId="15" w16cid:durableId="1793328201">
    <w:abstractNumId w:val="2"/>
  </w:num>
  <w:num w:numId="16" w16cid:durableId="2036156054">
    <w:abstractNumId w:val="2"/>
  </w:num>
  <w:num w:numId="17" w16cid:durableId="2079358376">
    <w:abstractNumId w:val="1"/>
  </w:num>
  <w:num w:numId="18" w16cid:durableId="50156374">
    <w:abstractNumId w:val="1"/>
  </w:num>
  <w:num w:numId="19" w16cid:durableId="172769932">
    <w:abstractNumId w:val="0"/>
  </w:num>
  <w:num w:numId="20" w16cid:durableId="1676805109">
    <w:abstractNumId w:val="0"/>
  </w:num>
  <w:num w:numId="21" w16cid:durableId="1540437770">
    <w:abstractNumId w:val="9"/>
  </w:num>
  <w:num w:numId="22" w16cid:durableId="1572229458">
    <w:abstractNumId w:val="7"/>
  </w:num>
  <w:num w:numId="23" w16cid:durableId="318385142">
    <w:abstractNumId w:val="6"/>
  </w:num>
  <w:num w:numId="24" w16cid:durableId="2009555495">
    <w:abstractNumId w:val="5"/>
  </w:num>
  <w:num w:numId="25" w16cid:durableId="239826238">
    <w:abstractNumId w:val="4"/>
  </w:num>
  <w:num w:numId="26" w16cid:durableId="46729973">
    <w:abstractNumId w:val="8"/>
  </w:num>
  <w:num w:numId="27" w16cid:durableId="1831560982">
    <w:abstractNumId w:val="3"/>
  </w:num>
  <w:num w:numId="28" w16cid:durableId="1333296805">
    <w:abstractNumId w:val="2"/>
  </w:num>
  <w:num w:numId="29" w16cid:durableId="1896161100">
    <w:abstractNumId w:val="1"/>
  </w:num>
  <w:num w:numId="30" w16cid:durableId="1119881638">
    <w:abstractNumId w:val="0"/>
  </w:num>
  <w:num w:numId="31" w16cid:durableId="1677535223">
    <w:abstractNumId w:val="9"/>
  </w:num>
  <w:num w:numId="32" w16cid:durableId="1009256041">
    <w:abstractNumId w:val="7"/>
  </w:num>
  <w:num w:numId="33" w16cid:durableId="211380330">
    <w:abstractNumId w:val="6"/>
  </w:num>
  <w:num w:numId="34" w16cid:durableId="97532101">
    <w:abstractNumId w:val="5"/>
  </w:num>
  <w:num w:numId="35" w16cid:durableId="1392772958">
    <w:abstractNumId w:val="4"/>
  </w:num>
  <w:num w:numId="36" w16cid:durableId="979071614">
    <w:abstractNumId w:val="8"/>
  </w:num>
  <w:num w:numId="37" w16cid:durableId="1290666544">
    <w:abstractNumId w:val="3"/>
  </w:num>
  <w:num w:numId="38" w16cid:durableId="166945494">
    <w:abstractNumId w:val="2"/>
  </w:num>
  <w:num w:numId="39" w16cid:durableId="870529152">
    <w:abstractNumId w:val="1"/>
  </w:num>
  <w:num w:numId="40" w16cid:durableId="1817800731">
    <w:abstractNumId w:val="0"/>
  </w:num>
  <w:num w:numId="41" w16cid:durableId="1552307933">
    <w:abstractNumId w:val="10"/>
  </w:num>
  <w:num w:numId="42" w16cid:durableId="1957760609">
    <w:abstractNumId w:val="10"/>
  </w:num>
  <w:num w:numId="43" w16cid:durableId="457798283">
    <w:abstractNumId w:val="10"/>
  </w:num>
  <w:num w:numId="44" w16cid:durableId="16188758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D0A"/>
    <w:rsid w:val="00002272"/>
    <w:rsid w:val="00064002"/>
    <w:rsid w:val="000677B9"/>
    <w:rsid w:val="000831BA"/>
    <w:rsid w:val="000A42CC"/>
    <w:rsid w:val="000E7DD9"/>
    <w:rsid w:val="0010095E"/>
    <w:rsid w:val="00125B37"/>
    <w:rsid w:val="0017717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9BE"/>
    <w:rsid w:val="0050519A"/>
    <w:rsid w:val="005072A1"/>
    <w:rsid w:val="00514517"/>
    <w:rsid w:val="00524E2E"/>
    <w:rsid w:val="00545827"/>
    <w:rsid w:val="00560270"/>
    <w:rsid w:val="005C2568"/>
    <w:rsid w:val="005F1B17"/>
    <w:rsid w:val="006037C0"/>
    <w:rsid w:val="006631B6"/>
    <w:rsid w:val="00680577"/>
    <w:rsid w:val="006E2D0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0EE"/>
    <w:rsid w:val="00817416"/>
    <w:rsid w:val="008327D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2B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2C8"/>
    <w:rsid w:val="00FB4360"/>
    <w:rsid w:val="00FD0C70"/>
    <w:rsid w:val="00FD6F7B"/>
  </w:rsids>
  <w:docVars>
    <w:docVar w:name="dvdocse" w:val="B10-0275/2026"/>
    <w:docVar w:name="dvlangue" w:val="HR"/>
    <w:docVar w:name="dvnumam" w:val="0"/>
    <w:docVar w:name="dvpe" w:val="783.329"/>
    <w:docVar w:name="dvtitre" w:val="Rezolucija Europskog parlamenta od .... 2026. o novačenju djece u organizirani kriminal(2026/272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DB0276"/>
  <w15:chartTrackingRefBased/>
  <w15:docId w15:val="{470E7E3E-4260-4422-A3C3-F97CEE3D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02C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F902C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F902C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902C8"/>
    <w:rPr>
      <w:sz w:val="24"/>
      <w:lang w:val="hr-HR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rsid w:val="00F902C8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Revision">
    <w:name w:val="Revision"/>
    <w:hidden/>
    <w:uiPriority w:val="99"/>
    <w:semiHidden/>
    <w:rsid w:val="0017717C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2/2065/oj" TargetMode="External" /><Relationship Id="rId2" Type="http://schemas.openxmlformats.org/officeDocument/2006/relationships/hyperlink" Target="http://data.europa.eu/eli/C/2025/5519/oj" TargetMode="External" /><Relationship Id="rId3" Type="http://schemas.openxmlformats.org/officeDocument/2006/relationships/hyperlink" Target="http://data.europa.eu/eli/dir/2016/800/oj" TargetMode="External" /><Relationship Id="rId4" Type="http://schemas.openxmlformats.org/officeDocument/2006/relationships/hyperlink" Target="https://www.europol.europa.eu/publication-events/main-reports/decoding-eus-most-threatening-criminal-networks" TargetMode="External" /><Relationship Id="rId5" Type="http://schemas.openxmlformats.org/officeDocument/2006/relationships/hyperlink" Target="http://data.europa.eu/eli/dir/2013/29/oj" TargetMode="External" /><Relationship Id="rId6" Type="http://schemas.openxmlformats.org/officeDocument/2006/relationships/hyperlink" Target="http://data.europa.eu/eli/dir/2024/171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2547</Words>
  <Characters>16268</Characters>
  <Application>Microsoft Office Word</Application>
  <DocSecurity>0</DocSecurity>
  <Lines>135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2026-07-14T09:33:00Z</dcterms:created>
  <dcterms:modified xsi:type="dcterms:W3CDTF">2026-07-14T09:33:00Z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B10-0275/2026</vt:lpwstr>
  </property>
  <property fmtid="{D5CDD505-2E9C-101B-9397-08002B2CF9AE}" pid="4" name="&lt;Type&gt;">
    <vt:lpwstr>RR</vt:lpwstr>
  </property>
</Properties>
</file>