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AC6D70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93A6A" w:rsidP="0010095E" w14:paraId="5C797CB1" w14:textId="77777777">
            <w:pPr>
              <w:pStyle w:val="EPName"/>
            </w:pPr>
            <w:r w:rsidRPr="00E93A6A">
              <w:t>Európai Parlament</w:t>
            </w:r>
          </w:p>
          <w:p w:rsidR="00751A4A" w:rsidRPr="00E93A6A" w:rsidP="005F1B17" w14:paraId="3BB187A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3A6A">
              <w:t>2024</w:t>
            </w:r>
            <w:r w:rsidRPr="00E93A6A" w:rsidR="00817416">
              <w:t>-202</w:t>
            </w:r>
            <w:r w:rsidRPr="00E93A6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93A6A" w:rsidP="0010095E" w14:paraId="24AD634A" w14:textId="77777777">
            <w:pPr>
              <w:pStyle w:val="EPLogo"/>
            </w:pPr>
            <w:r w:rsidRPr="00E93A6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93A6A" w:rsidP="004C5D52" w14:paraId="293372B8" w14:textId="77777777">
      <w:pPr>
        <w:pStyle w:val="LineTop"/>
      </w:pPr>
    </w:p>
    <w:p w:rsidR="00680577" w:rsidRPr="00E93A6A" w:rsidP="00680577" w14:paraId="35C4D483" w14:textId="77777777">
      <w:pPr>
        <w:pStyle w:val="EPBodyTA1"/>
      </w:pPr>
      <w:r w:rsidRPr="00E93A6A">
        <w:t>ELFOGADOTT SZÖVEGEK</w:t>
      </w:r>
    </w:p>
    <w:p w:rsidR="00D058B8" w:rsidRPr="00E93A6A" w:rsidP="00D058B8" w14:paraId="5B196CFF" w14:textId="77777777">
      <w:pPr>
        <w:pStyle w:val="LineBottom"/>
      </w:pPr>
    </w:p>
    <w:p w:rsidR="00D74FC3" w:rsidRPr="00E93A6A" w:rsidP="00D74FC3" w14:paraId="79775072" w14:textId="323AEC42">
      <w:pPr>
        <w:pStyle w:val="ATHeading1"/>
      </w:pPr>
      <w:bookmarkStart w:id="0" w:name="TANumber"/>
      <w:r w:rsidRPr="00E93A6A">
        <w:t>P10_</w:t>
      </w:r>
      <w:r w:rsidRPr="00E93A6A">
        <w:t>TA(</w:t>
      </w:r>
      <w:r w:rsidRPr="00E93A6A">
        <w:t>2026)0</w:t>
      </w:r>
      <w:r w:rsidR="009322FE">
        <w:t>23</w:t>
      </w:r>
      <w:r w:rsidRPr="00E93A6A">
        <w:t>0</w:t>
      </w:r>
      <w:bookmarkEnd w:id="0"/>
    </w:p>
    <w:p w:rsidR="00D74FC3" w:rsidRPr="00E93A6A" w:rsidP="00D74FC3" w14:paraId="71560F23" w14:textId="77777777">
      <w:pPr>
        <w:pStyle w:val="ATHeading2"/>
      </w:pPr>
      <w:bookmarkStart w:id="1" w:name="title"/>
      <w:r w:rsidRPr="00E93A6A">
        <w:t>Gyermekek szervezett bűnözés általi toborzása</w:t>
      </w:r>
      <w:bookmarkEnd w:id="1"/>
    </w:p>
    <w:p w:rsidR="00D74FC3" w:rsidRPr="00E93A6A" w:rsidP="00D74FC3" w14:paraId="0D8F96F2" w14:textId="77777777">
      <w:pPr>
        <w:rPr>
          <w:i/>
          <w:vanish/>
        </w:rPr>
      </w:pPr>
      <w:r>
        <w:rPr>
          <w:i/>
        </w:rPr>
        <w:fldChar w:fldCharType="begin"/>
      </w:r>
      <w:r w:rsidRPr="00E93A6A">
        <w:rPr>
          <w:i/>
        </w:rPr>
        <w:instrText xml:space="preserve"> TC"(</w:instrText>
      </w:r>
      <w:bookmarkStart w:id="2" w:name="DocNumber"/>
      <w:r w:rsidRPr="00E93A6A">
        <w:rPr>
          <w:i/>
        </w:rPr>
        <w:instrText>B10-0275/2026</w:instrText>
      </w:r>
      <w:bookmarkEnd w:id="2"/>
      <w:r w:rsidRPr="00E93A6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74FC3" w:rsidRPr="00E93A6A" w:rsidP="00D74FC3" w14:paraId="589E84AD" w14:textId="77777777">
      <w:pPr>
        <w:rPr>
          <w:vanish/>
        </w:rPr>
      </w:pPr>
      <w:bookmarkStart w:id="3" w:name="PE"/>
      <w:r w:rsidRPr="00E93A6A">
        <w:rPr>
          <w:vanish/>
        </w:rPr>
        <w:t>PE783.329</w:t>
      </w:r>
      <w:bookmarkEnd w:id="3"/>
    </w:p>
    <w:p w:rsidR="00D74FC3" w:rsidRPr="00E93A6A" w:rsidP="00D74FC3" w14:paraId="5454B49E" w14:textId="270AAC38">
      <w:pPr>
        <w:pStyle w:val="ATHeading3"/>
      </w:pPr>
      <w:bookmarkStart w:id="4" w:name="Sujet"/>
      <w:r w:rsidRPr="00E93A6A">
        <w:t xml:space="preserve">Az Európai Parlament 2026. </w:t>
      </w:r>
      <w:r w:rsidR="008156F0">
        <w:t>június 18</w:t>
      </w:r>
      <w:r w:rsidRPr="00E93A6A">
        <w:t>-i állásfoglalása gyermekek szervezett bűnözői csoportok általi toborzásáról</w:t>
      </w:r>
      <w:bookmarkEnd w:id="4"/>
      <w:r w:rsidRPr="00E93A6A">
        <w:t xml:space="preserve"> </w:t>
      </w:r>
      <w:bookmarkStart w:id="5" w:name="References"/>
      <w:r w:rsidRPr="00E93A6A">
        <w:t>(2026/2725(RSP))</w:t>
      </w:r>
      <w:bookmarkEnd w:id="5"/>
    </w:p>
    <w:p w:rsidR="00874931" w:rsidRPr="00E93A6A" w:rsidP="00874931" w14:paraId="16533808" w14:textId="77777777">
      <w:pPr>
        <w:pStyle w:val="EPComma"/>
      </w:pPr>
      <w:bookmarkStart w:id="6" w:name="TextBodyBegin"/>
      <w:bookmarkEnd w:id="6"/>
      <w:r w:rsidRPr="00E93A6A">
        <w:rPr>
          <w:i/>
        </w:rPr>
        <w:t>Az Európai Parlament</w:t>
      </w:r>
      <w:r w:rsidRPr="00E93A6A">
        <w:t>,</w:t>
      </w:r>
    </w:p>
    <w:p w:rsidR="00874931" w:rsidRPr="00E93A6A" w:rsidP="008156F0" w14:paraId="11994E45" w14:textId="77777777">
      <w:pPr>
        <w:pStyle w:val="NormalHanging12a"/>
        <w:widowControl/>
        <w:rPr>
          <w:spacing w:val="-2"/>
        </w:rPr>
      </w:pPr>
      <w:r w:rsidRPr="00E93A6A">
        <w:t>–</w:t>
      </w:r>
      <w:r w:rsidRPr="00E93A6A">
        <w:tab/>
        <w:t>tekintettel a gyermek jogairól szóló ENSZ-egyezményre,</w:t>
      </w:r>
    </w:p>
    <w:p w:rsidR="00874931" w:rsidRPr="00E93A6A" w:rsidP="008156F0" w14:paraId="415C6BDB" w14:textId="77777777">
      <w:pPr>
        <w:pStyle w:val="NormalHanging12a"/>
        <w:widowControl/>
        <w:rPr>
          <w:spacing w:val="-2"/>
        </w:rPr>
      </w:pPr>
      <w:r w:rsidRPr="00E93A6A">
        <w:t>–</w:t>
      </w:r>
      <w:r w:rsidRPr="00E93A6A">
        <w:tab/>
        <w:t>tekintettel az Egyesült Nemzetek Közgyűlésének a bűnmegelőzés és a büntető igazságszolgáltatás területén a szervezett bűnözői és terrorista csoportok által a gyermekekkel szemben elkövetett erőszak megelőzéséről és az ellene való küzdelemről szóló 79/188. sz. határozatára,</w:t>
      </w:r>
    </w:p>
    <w:p w:rsidR="00874931" w:rsidRPr="00E93A6A" w:rsidP="008156F0" w14:paraId="11A292A5" w14:textId="77777777">
      <w:pPr>
        <w:pStyle w:val="NormalHanging12a"/>
        <w:widowControl/>
        <w:rPr>
          <w:spacing w:val="-2"/>
        </w:rPr>
      </w:pPr>
      <w:r w:rsidRPr="00E93A6A">
        <w:t>–</w:t>
      </w:r>
      <w:r w:rsidRPr="00E93A6A">
        <w:tab/>
        <w:t>tekintettel az Egyesült Nemzetek Gazdasági és Szociális Tanácsának a terrorista csoportokkal kapcsolatba hozható gyermekekkel, köztük az e csoportok által toborzott és kizsákmányolt gyermekekkel való bánásmódról szóló 2024/12. sz. határozatára,</w:t>
      </w:r>
    </w:p>
    <w:p w:rsidR="00874931" w:rsidRPr="00E93A6A" w:rsidP="008156F0" w14:paraId="24E06E81" w14:textId="77777777">
      <w:pPr>
        <w:pStyle w:val="NormalHanging12a"/>
        <w:widowControl/>
        <w:rPr>
          <w:spacing w:val="-2"/>
        </w:rPr>
      </w:pPr>
      <w:r w:rsidRPr="00E93A6A">
        <w:t>–</w:t>
      </w:r>
      <w:r w:rsidRPr="00E93A6A">
        <w:tab/>
        <w:t xml:space="preserve">tekintettel „A </w:t>
      </w:r>
      <w:r w:rsidRPr="00E93A6A">
        <w:t>ProtectEU-ról</w:t>
      </w:r>
      <w:r w:rsidRPr="00E93A6A">
        <w:t xml:space="preserve"> (2025–2030): Európai belső biztonsági stratégia” című, 2025. április 1-jei bizottsági közleményre (</w:t>
      </w:r>
      <w:r w:rsidRPr="00E93A6A">
        <w:t>COM(</w:t>
      </w:r>
      <w:r w:rsidRPr="00E93A6A">
        <w:t>2025)0148),</w:t>
      </w:r>
    </w:p>
    <w:p w:rsidR="00874931" w:rsidRPr="00E93A6A" w:rsidP="008156F0" w14:paraId="50FC04EF" w14:textId="77777777">
      <w:pPr>
        <w:pStyle w:val="NormalHanging12a"/>
        <w:widowControl/>
        <w:rPr>
          <w:spacing w:val="-2"/>
        </w:rPr>
      </w:pPr>
      <w:r w:rsidRPr="00E93A6A">
        <w:t>–</w:t>
      </w:r>
      <w:r w:rsidRPr="00E93A6A">
        <w:tab/>
        <w:t xml:space="preserve">tekintettel az </w:t>
      </w:r>
      <w:r w:rsidRPr="00E93A6A">
        <w:t>Europol</w:t>
      </w:r>
      <w:r w:rsidRPr="00E93A6A">
        <w:t xml:space="preserve"> „Az Európai Unió súlyos és szervezett bűnözés általi fenyegetettségének értékelése (EU-SOCTA), 2025” című jelentésére,</w:t>
      </w:r>
    </w:p>
    <w:p w:rsidR="00874931" w:rsidRPr="00E93A6A" w:rsidP="008156F0" w14:paraId="6F5615E5" w14:textId="77777777">
      <w:pPr>
        <w:pStyle w:val="NormalHanging12a"/>
        <w:widowControl/>
        <w:rPr>
          <w:spacing w:val="-2"/>
        </w:rPr>
      </w:pPr>
      <w:r w:rsidRPr="00E93A6A">
        <w:t>–</w:t>
      </w:r>
      <w:r w:rsidRPr="00E93A6A">
        <w:tab/>
        <w:t>tekintettel a gyermekek bűnözéssel szembeni védelméről szóló, küszöbön álló uniós cselekvési tervre,</w:t>
      </w:r>
    </w:p>
    <w:p w:rsidR="00874931" w:rsidRPr="00E93A6A" w:rsidP="008156F0" w14:paraId="5492E08F" w14:textId="77777777">
      <w:pPr>
        <w:pStyle w:val="NormalHanging12a"/>
        <w:widowControl/>
        <w:rPr>
          <w:spacing w:val="-2"/>
        </w:rPr>
      </w:pPr>
      <w:r w:rsidRPr="00E93A6A">
        <w:t>–</w:t>
      </w:r>
      <w:r w:rsidRPr="00E93A6A">
        <w:tab/>
        <w:t xml:space="preserve">tekintettel az EU és az ENSZ Kábítószer- és Bűnügyi Hivatala (UNODC) által indított STRIVE </w:t>
      </w:r>
      <w:r w:rsidRPr="00E93A6A">
        <w:t>Juvenile</w:t>
      </w:r>
      <w:r w:rsidRPr="00E93A6A">
        <w:t xml:space="preserve"> projektre és annak értékelési megállapításaira,</w:t>
      </w:r>
    </w:p>
    <w:p w:rsidR="00874931" w:rsidRPr="00E93A6A" w:rsidP="008156F0" w14:paraId="21BDBD38" w14:textId="77777777">
      <w:pPr>
        <w:pStyle w:val="NormalHanging12a"/>
        <w:widowControl/>
      </w:pPr>
      <w:bookmarkStart w:id="7" w:name="_Hlk231207339"/>
      <w:r w:rsidRPr="00E93A6A">
        <w:rPr>
          <w:snapToGrid w:val="0"/>
        </w:rPr>
        <w:t>–</w:t>
      </w:r>
      <w:r w:rsidRPr="00E93A6A">
        <w:rPr>
          <w:snapToGrid w:val="0"/>
        </w:rPr>
        <w:tab/>
      </w:r>
      <w:r w:rsidRPr="00E93A6A">
        <w:t>tekintettel a digitális szolgáltatások egységes piacáról és a 2000/31/EK irányelv módosításáról szóló, 2022. október 19-i (EU) 2022/2065 európai parlamenti és tanácsi rendeletre (a digitális szolgáltatásokról szóló rendelet)</w:t>
      </w:r>
      <w:r>
        <w:rPr>
          <w:rStyle w:val="FootnoteReference"/>
        </w:rPr>
        <w:footnoteReference w:id="2"/>
      </w:r>
      <w:r w:rsidRPr="00E93A6A">
        <w:t xml:space="preserve">, különösen annak a kiskorúak online védelmére, a jogellenes tartalomhoz és a káros online magatartáshoz kapcsolódó rendszerszintű kockázatok értékelésére és csökkentésére, az ajánlórendszerekre, </w:t>
      </w:r>
      <w:r w:rsidRPr="00E93A6A">
        <w:t>valamint az online óriásplatformok és keresőprogramok felelősségére vonatkozó rendelkezéseire,</w:t>
      </w:r>
    </w:p>
    <w:p w:rsidR="00874931" w:rsidRPr="00E93A6A" w:rsidP="008156F0" w14:paraId="0710DD12" w14:textId="77777777">
      <w:pPr>
        <w:pStyle w:val="NormalHanging12a"/>
        <w:widowControl/>
      </w:pPr>
      <w:r w:rsidRPr="00E93A6A">
        <w:rPr>
          <w:snapToGrid w:val="0"/>
        </w:rPr>
        <w:t>–</w:t>
      </w:r>
      <w:r w:rsidRPr="00E93A6A">
        <w:rPr>
          <w:snapToGrid w:val="0"/>
        </w:rPr>
        <w:tab/>
      </w:r>
      <w:r w:rsidRPr="00E93A6A">
        <w:t>tekintettel a kiskorúak védelméről szóló, a digitális szolgáltatásokról szóló rendelet szerinti, 2025. július 14-i bizottsági iránymutatásokra</w:t>
      </w:r>
      <w:r>
        <w:rPr>
          <w:rStyle w:val="FootnoteReference"/>
        </w:rPr>
        <w:footnoteReference w:id="3"/>
      </w:r>
      <w:r w:rsidRPr="00E93A6A">
        <w:t>,</w:t>
      </w:r>
    </w:p>
    <w:p w:rsidR="00874931" w:rsidRPr="00E93A6A" w:rsidP="008156F0" w14:paraId="2CFDB935" w14:textId="77777777">
      <w:pPr>
        <w:pStyle w:val="NormalHanging12a"/>
        <w:widowControl/>
      </w:pPr>
      <w:r w:rsidRPr="00E93A6A">
        <w:rPr>
          <w:snapToGrid w:val="0"/>
        </w:rPr>
        <w:t>–</w:t>
      </w:r>
      <w:r w:rsidRPr="00E93A6A">
        <w:rPr>
          <w:snapToGrid w:val="0"/>
        </w:rPr>
        <w:tab/>
      </w:r>
      <w:r w:rsidRPr="00E93A6A">
        <w:t xml:space="preserve">tekintettel az </w:t>
      </w:r>
      <w:r w:rsidRPr="00E93A6A">
        <w:t>Europol</w:t>
      </w:r>
      <w:r w:rsidRPr="00E93A6A">
        <w:t xml:space="preserve"> 2024. november 12-i, „The </w:t>
      </w:r>
      <w:r w:rsidRPr="00E93A6A">
        <w:t>recruitment</w:t>
      </w:r>
      <w:r w:rsidRPr="00E93A6A">
        <w:t xml:space="preserve"> of </w:t>
      </w:r>
      <w:r w:rsidRPr="00E93A6A">
        <w:t>young</w:t>
      </w:r>
      <w:r w:rsidRPr="00E93A6A">
        <w:t xml:space="preserve"> </w:t>
      </w:r>
      <w:r w:rsidRPr="00E93A6A">
        <w:t>perpetrators</w:t>
      </w:r>
      <w:r w:rsidRPr="00E93A6A">
        <w:t xml:space="preserve"> </w:t>
      </w:r>
      <w:r w:rsidRPr="00E93A6A">
        <w:t>for</w:t>
      </w:r>
      <w:r w:rsidRPr="00E93A6A">
        <w:t xml:space="preserve"> </w:t>
      </w:r>
      <w:r w:rsidRPr="00E93A6A">
        <w:t>criminal</w:t>
      </w:r>
      <w:r w:rsidRPr="00E93A6A">
        <w:t xml:space="preserve"> </w:t>
      </w:r>
      <w:r w:rsidRPr="00E93A6A">
        <w:t>networks</w:t>
      </w:r>
      <w:r w:rsidRPr="00E93A6A">
        <w:t xml:space="preserve"> [A fiatal elkövetők bűnszövetkezetekbe való toborzása]” című hírszerzési értesítésére,</w:t>
      </w:r>
    </w:p>
    <w:p w:rsidR="00874931" w:rsidRPr="00E93A6A" w:rsidP="008156F0" w14:paraId="1CB6EC8A" w14:textId="77777777">
      <w:pPr>
        <w:pStyle w:val="NormalHanging12a"/>
        <w:widowControl/>
      </w:pPr>
      <w:r w:rsidRPr="00E93A6A">
        <w:rPr>
          <w:snapToGrid w:val="0"/>
        </w:rPr>
        <w:t>–</w:t>
      </w:r>
      <w:r w:rsidRPr="00E93A6A">
        <w:rPr>
          <w:snapToGrid w:val="0"/>
        </w:rPr>
        <w:tab/>
      </w:r>
      <w:r w:rsidRPr="00E93A6A">
        <w:t xml:space="preserve">tekintettel az UNICEF </w:t>
      </w:r>
      <w:r w:rsidRPr="00E93A6A">
        <w:t>Innocenti</w:t>
      </w:r>
      <w:r w:rsidRPr="00E93A6A">
        <w:t xml:space="preserve"> – Kutatási és </w:t>
      </w:r>
      <w:r w:rsidRPr="00E93A6A">
        <w:t>Előrejelzési</w:t>
      </w:r>
      <w:r w:rsidRPr="00E93A6A">
        <w:t xml:space="preserve"> Nemzetközi Iroda „</w:t>
      </w:r>
      <w:r w:rsidRPr="00E93A6A">
        <w:t>Children’s</w:t>
      </w:r>
      <w:r w:rsidRPr="00E93A6A">
        <w:t xml:space="preserve"> </w:t>
      </w:r>
      <w:r w:rsidRPr="00E93A6A">
        <w:t>Involvement</w:t>
      </w:r>
      <w:r w:rsidRPr="00E93A6A">
        <w:t xml:space="preserve"> in </w:t>
      </w:r>
      <w:r w:rsidRPr="00E93A6A">
        <w:t>Organized</w:t>
      </w:r>
      <w:r w:rsidRPr="00E93A6A">
        <w:t xml:space="preserve"> </w:t>
      </w:r>
      <w:r w:rsidRPr="00E93A6A">
        <w:t>Violence</w:t>
      </w:r>
      <w:r w:rsidRPr="00E93A6A">
        <w:t xml:space="preserve">: </w:t>
      </w:r>
      <w:r w:rsidRPr="00E93A6A">
        <w:t>Emerging</w:t>
      </w:r>
      <w:r w:rsidRPr="00E93A6A">
        <w:t xml:space="preserve"> </w:t>
      </w:r>
      <w:r w:rsidRPr="00E93A6A">
        <w:t>trends</w:t>
      </w:r>
      <w:r w:rsidRPr="00E93A6A">
        <w:t xml:space="preserve"> and </w:t>
      </w:r>
      <w:r w:rsidRPr="00E93A6A">
        <w:t>knowledge</w:t>
      </w:r>
      <w:r w:rsidRPr="00E93A6A">
        <w:t xml:space="preserve"> </w:t>
      </w:r>
      <w:r w:rsidRPr="00E93A6A">
        <w:t>gaps</w:t>
      </w:r>
      <w:r w:rsidRPr="00E93A6A">
        <w:t xml:space="preserve"> [A gyermekek szervezett bűnözésben való részvétele: Kialakulóban lévő tendenciák és </w:t>
      </w:r>
      <w:r w:rsidRPr="00E93A6A">
        <w:t>ismeretbeli</w:t>
      </w:r>
      <w:r w:rsidRPr="00E93A6A">
        <w:t xml:space="preserve"> hiányosságok]” című, 2024. szeptemberi munkadokumentumára,</w:t>
      </w:r>
    </w:p>
    <w:bookmarkEnd w:id="7"/>
    <w:p w:rsidR="00874931" w:rsidRPr="00E93A6A" w:rsidP="008156F0" w14:paraId="309D2C25" w14:textId="77777777">
      <w:pPr>
        <w:pStyle w:val="NormalHanging12a"/>
        <w:widowControl/>
        <w:rPr>
          <w:bCs/>
          <w:spacing w:val="-2"/>
        </w:rPr>
      </w:pPr>
      <w:r w:rsidRPr="00E93A6A">
        <w:t>–</w:t>
      </w:r>
      <w:r w:rsidRPr="00E93A6A">
        <w:tab/>
        <w:t>tekintettel az EU gyermekjogi stratégiájára és a kábítószer elleni uniós stratégiára,</w:t>
      </w:r>
    </w:p>
    <w:p w:rsidR="00874931" w:rsidRPr="00E93A6A" w:rsidP="008156F0" w14:paraId="18B36242" w14:textId="77777777">
      <w:pPr>
        <w:pStyle w:val="NormalHanging12a"/>
        <w:widowControl/>
        <w:rPr>
          <w:bCs/>
          <w:spacing w:val="-2"/>
        </w:rPr>
      </w:pPr>
      <w:r w:rsidRPr="00E93A6A">
        <w:t>–</w:t>
      </w:r>
      <w:r w:rsidRPr="00E93A6A">
        <w:tab/>
        <w:t>tekintettel Állampolgári Jogi, Bel- és Igazságügyi Bizottságának „</w:t>
      </w:r>
      <w:r w:rsidRPr="00E93A6A">
        <w:t>Radicalisation</w:t>
      </w:r>
      <w:r w:rsidRPr="00E93A6A">
        <w:t xml:space="preserve"> online, </w:t>
      </w:r>
      <w:r w:rsidRPr="00E93A6A">
        <w:t>with</w:t>
      </w:r>
      <w:r w:rsidRPr="00E93A6A">
        <w:t xml:space="preserve"> a </w:t>
      </w:r>
      <w:r w:rsidRPr="00E93A6A">
        <w:t>focus</w:t>
      </w:r>
      <w:r w:rsidRPr="00E93A6A">
        <w:t xml:space="preserve"> on </w:t>
      </w:r>
      <w:r w:rsidRPr="00E93A6A">
        <w:t>the</w:t>
      </w:r>
      <w:r w:rsidRPr="00E93A6A">
        <w:t xml:space="preserve"> </w:t>
      </w:r>
      <w:r w:rsidRPr="00E93A6A">
        <w:t>recruitment</w:t>
      </w:r>
      <w:r w:rsidRPr="00E93A6A">
        <w:t xml:space="preserve"> of </w:t>
      </w:r>
      <w:r w:rsidRPr="00E93A6A">
        <w:t>children</w:t>
      </w:r>
      <w:r w:rsidRPr="00E93A6A">
        <w:t xml:space="preserve"> </w:t>
      </w:r>
      <w:r w:rsidRPr="00E93A6A">
        <w:t>for</w:t>
      </w:r>
      <w:r w:rsidRPr="00E93A6A">
        <w:t xml:space="preserve"> </w:t>
      </w:r>
      <w:r w:rsidRPr="00E93A6A">
        <w:t>organised</w:t>
      </w:r>
      <w:r w:rsidRPr="00E93A6A">
        <w:t xml:space="preserve"> </w:t>
      </w:r>
      <w:r w:rsidRPr="00E93A6A">
        <w:t>crime</w:t>
      </w:r>
      <w:r w:rsidRPr="00E93A6A">
        <w:t xml:space="preserve"> and </w:t>
      </w:r>
      <w:r w:rsidRPr="00E93A6A">
        <w:t>terrorism</w:t>
      </w:r>
      <w:r w:rsidRPr="00E93A6A">
        <w:t xml:space="preserve"> [Az online radikalizálódás, különös tekintettel a gyermekek szervezett bűnözés és terrorizmus céljából történő toborzására]” című, 2025. június 4-i meghallgatására,</w:t>
      </w:r>
    </w:p>
    <w:p w:rsidR="00874931" w:rsidRPr="00E93A6A" w:rsidP="008156F0" w14:paraId="34CD3726" w14:textId="77777777">
      <w:pPr>
        <w:pStyle w:val="NormalHanging12a"/>
        <w:widowControl/>
        <w:rPr>
          <w:bCs/>
          <w:spacing w:val="-2"/>
        </w:rPr>
      </w:pPr>
      <w:r w:rsidRPr="00E93A6A">
        <w:t>–</w:t>
      </w:r>
      <w:r w:rsidRPr="00E93A6A">
        <w:tab/>
        <w:t xml:space="preserve">tekintettel a </w:t>
      </w:r>
      <w:r w:rsidRPr="00E93A6A">
        <w:t>Mehdi</w:t>
      </w:r>
      <w:r w:rsidRPr="00E93A6A">
        <w:t xml:space="preserve"> </w:t>
      </w:r>
      <w:r w:rsidRPr="00E93A6A">
        <w:t>Kessaci</w:t>
      </w:r>
      <w:r w:rsidRPr="00E93A6A">
        <w:t xml:space="preserve"> meggyilkolásáról és a kábítószer-kereskedelem elleni ambiciózus európai fellépés szükségességéről szóló, 2026. január 20-i állásfoglalására</w:t>
      </w:r>
      <w:r>
        <w:rPr>
          <w:rStyle w:val="FootnoteReference"/>
        </w:rPr>
        <w:footnoteReference w:id="4"/>
      </w:r>
      <w:r w:rsidRPr="00E93A6A">
        <w:t>,</w:t>
      </w:r>
    </w:p>
    <w:p w:rsidR="00874931" w:rsidRPr="00E93A6A" w:rsidP="008156F0" w14:paraId="3FC976FC" w14:textId="77777777">
      <w:pPr>
        <w:pStyle w:val="NormalHanging12a"/>
        <w:widowControl/>
        <w:rPr>
          <w:spacing w:val="-2"/>
        </w:rPr>
      </w:pPr>
      <w:r w:rsidRPr="00E93A6A">
        <w:t>–</w:t>
      </w:r>
      <w:r w:rsidRPr="00E93A6A">
        <w:tab/>
        <w:t>tekintettel a büntetőeljárás során gyanúsított vagy vádlott gyermekek részére nyújtandó eljárási biztosítékokról szóló, 2016. május 11-i (EU) 2016/800 európai parlamenti és tanácsi irányelvre</w:t>
      </w:r>
      <w:r>
        <w:rPr>
          <w:rStyle w:val="FootnoteReference"/>
        </w:rPr>
        <w:footnoteReference w:id="5"/>
      </w:r>
      <w:r w:rsidRPr="00E93A6A">
        <w:t>,</w:t>
      </w:r>
    </w:p>
    <w:p w:rsidR="00874931" w:rsidRPr="00E93A6A" w:rsidP="008156F0" w14:paraId="2EE674A5" w14:textId="77777777">
      <w:pPr>
        <w:pStyle w:val="NormalHanging12a"/>
        <w:widowControl/>
      </w:pPr>
      <w:r w:rsidRPr="00E93A6A">
        <w:t>–</w:t>
      </w:r>
      <w:r w:rsidRPr="00E93A6A">
        <w:tab/>
        <w:t>tekintettel eljárási szabályzata 136. cikkének (2) bekezdésére,</w:t>
      </w:r>
    </w:p>
    <w:p w:rsidR="00874931" w:rsidRPr="00E93A6A" w:rsidP="008156F0" w14:paraId="5A15A246" w14:textId="77777777">
      <w:pPr>
        <w:pStyle w:val="NormalHanging12a"/>
        <w:widowControl/>
      </w:pPr>
      <w:r w:rsidRPr="00E93A6A">
        <w:t>A.</w:t>
      </w:r>
      <w:r w:rsidRPr="00E93A6A">
        <w:rPr>
          <w:snapToGrid w:val="0"/>
        </w:rPr>
        <w:tab/>
      </w:r>
      <w:r w:rsidRPr="00E93A6A">
        <w:t>mivel a szervezett bűnözői és terrorista csoportok operatív stratégiáik részeként egyre gyakrabban toboroznak és zsákmányolnak ki gyermekeket, többek között annak érdekében, hogy megvédjék a felnőtt elkövetőket a felderítéstől és a büntetőeljárástól, valamint kiterjesszék az illegális tevékenységeket;</w:t>
      </w:r>
    </w:p>
    <w:p w:rsidR="00874931" w:rsidRPr="00E93A6A" w:rsidP="008156F0" w14:paraId="0AFF4A73" w14:textId="77777777">
      <w:pPr>
        <w:pStyle w:val="NormalHanging12a"/>
        <w:widowControl/>
      </w:pPr>
      <w:r w:rsidRPr="00E93A6A">
        <w:rPr>
          <w:snapToGrid w:val="0"/>
        </w:rPr>
        <w:t>B.</w:t>
      </w:r>
      <w:r w:rsidRPr="00E93A6A">
        <w:rPr>
          <w:snapToGrid w:val="0"/>
        </w:rPr>
        <w:tab/>
      </w:r>
      <w:r w:rsidRPr="00E93A6A">
        <w:t xml:space="preserve">mivel az </w:t>
      </w:r>
      <w:r w:rsidRPr="00E93A6A">
        <w:t>Europol</w:t>
      </w:r>
      <w:r w:rsidRPr="00E93A6A">
        <w:t xml:space="preserve"> 2024. novemberi hírszerzési értesítése azt mutatja, hogy a bűnözői hálózatok által toborzott kiskorúak jellemzően nem állnak közvetlen kapcsolatban a szervezetek magasabb szintjeivel, és bűnözői szolgáltatókon keresztül mozgósítják őket; mivel ezek a kiskorúak korlátozott ismeretekkel rendelkeznek a hálózatok felépítéséről, és gyakran nincsenek róluk a bűnügyi nyilvántartásban tárolt adatok, ezért alacsony kockázatú szereplők, akik letartóztatásuk esetén kevésbé tudnak hasznos információkkal szolgálni a bűnüldöző szervek számára;</w:t>
      </w:r>
    </w:p>
    <w:p w:rsidR="00874931" w:rsidRPr="00E93A6A" w:rsidP="008156F0" w14:paraId="7ED7CA48" w14:textId="77777777">
      <w:pPr>
        <w:pStyle w:val="NormalHanging12a"/>
        <w:widowControl/>
      </w:pPr>
      <w:r w:rsidRPr="00E93A6A">
        <w:rPr>
          <w:snapToGrid w:val="0"/>
        </w:rPr>
        <w:t>C.</w:t>
      </w:r>
      <w:r w:rsidRPr="00E93A6A">
        <w:rPr>
          <w:snapToGrid w:val="0"/>
        </w:rPr>
        <w:tab/>
      </w:r>
      <w:r w:rsidRPr="00E93A6A">
        <w:t xml:space="preserve">mivel a gyermekek szervezett bűnözői és terrorista csoportok általi toborzása és kizsákmányolása sérti a gyermekek alapvető jogait, többek között méltóságukat, és súlyos következményekkel jár biztonságukra és jövőjükre nézve; mivel a gyermekek szervezett bűnözői hálózatok általi toborzással szembeni kiszolgáltatottsága kumulatív </w:t>
      </w:r>
      <w:r w:rsidRPr="00E93A6A">
        <w:t xml:space="preserve">és </w:t>
      </w:r>
      <w:r w:rsidRPr="00E93A6A">
        <w:t>interszekcionális</w:t>
      </w:r>
      <w:r w:rsidRPr="00E93A6A">
        <w:t xml:space="preserve"> kockázati tényezőkből, többek között az összetartozás érzésének hiányából, a kedvezőtlen gyermekkori tapasztalatokból és a mentális egészséggel kapcsolatos kihívásokból ered, amelyeket szándékosan kihasználnak; mivel a hatékony megelőzéshez olyan integrált válaszokra van szükség, amelyek kezelik ezeket a tényezőket;</w:t>
      </w:r>
    </w:p>
    <w:p w:rsidR="00874931" w:rsidRPr="00E93A6A" w:rsidP="008156F0" w14:paraId="37782850" w14:textId="77777777">
      <w:pPr>
        <w:pStyle w:val="NormalHanging12a"/>
        <w:widowControl/>
      </w:pPr>
      <w:r w:rsidRPr="00E93A6A">
        <w:rPr>
          <w:snapToGrid w:val="0"/>
        </w:rPr>
        <w:t>D.</w:t>
      </w:r>
      <w:r w:rsidRPr="00E93A6A">
        <w:rPr>
          <w:snapToGrid w:val="0"/>
        </w:rPr>
        <w:tab/>
      </w:r>
      <w:r w:rsidRPr="00E93A6A">
        <w:t>mivel a gyermektoborzás elsősorban humanitárius problémából a szervezett bűnözés rendszerszintű előmozdítójává vált, beágyazódott a bűnözői hálózatok működési modelljeibe, és akadályozza a békét, a biztonságot és a fejlődést; mivel a gyermekeket toborzó bűnözői csoportok aláássák az EU biztonságát, táplálják a bűnözést, és generációkon át állandósítják az erőszak és a bizonytalanság ördögi körét;</w:t>
      </w:r>
    </w:p>
    <w:p w:rsidR="00874931" w:rsidRPr="00E93A6A" w:rsidP="008156F0" w14:paraId="17AF5E28" w14:textId="77777777">
      <w:pPr>
        <w:pStyle w:val="NormalHanging12a"/>
        <w:widowControl/>
      </w:pPr>
      <w:r w:rsidRPr="00E93A6A">
        <w:rPr>
          <w:snapToGrid w:val="0"/>
        </w:rPr>
        <w:t>E.</w:t>
      </w:r>
      <w:r w:rsidRPr="00E93A6A">
        <w:rPr>
          <w:snapToGrid w:val="0"/>
        </w:rPr>
        <w:tab/>
      </w:r>
      <w:r w:rsidRPr="00E93A6A">
        <w:t>mivel ezeket a gyakorlatokat elősegítik bizonyos technológiai fejlesztések, amelyek normalizálhatják és ösztönözhetik a gyermekek bűnözői magatartását;</w:t>
      </w:r>
    </w:p>
    <w:p w:rsidR="00874931" w:rsidRPr="00E93A6A" w:rsidP="008156F0" w14:paraId="3DBBD6E2" w14:textId="77777777">
      <w:pPr>
        <w:pStyle w:val="NormalHanging12a"/>
        <w:widowControl/>
      </w:pPr>
      <w:r w:rsidRPr="00E93A6A">
        <w:rPr>
          <w:snapToGrid w:val="0"/>
        </w:rPr>
        <w:t>F.</w:t>
      </w:r>
      <w:r w:rsidRPr="00E93A6A">
        <w:rPr>
          <w:snapToGrid w:val="0"/>
        </w:rPr>
        <w:tab/>
      </w:r>
      <w:r w:rsidRPr="00E93A6A">
        <w:t xml:space="preserve">mivel az </w:t>
      </w:r>
      <w:r w:rsidRPr="00E93A6A">
        <w:t>Europol</w:t>
      </w:r>
      <w:r w:rsidRPr="00E93A6A">
        <w:t xml:space="preserve"> 2024. évi feltérképezése az EU-ban 821 nagy kockázatú bűnözői hálózatot azonosított, amelyek a becslések szerint 92–188 milliárd EUR éves bevételt termelnek, ami az EU GDP-</w:t>
      </w:r>
      <w:r w:rsidRPr="00E93A6A">
        <w:t>jének</w:t>
      </w:r>
      <w:r w:rsidRPr="00E93A6A">
        <w:t xml:space="preserve"> mintegy 0,7–1,4%-át teszi ki</w:t>
      </w:r>
      <w:r>
        <w:rPr>
          <w:rStyle w:val="FootnoteReference"/>
          <w:color w:val="000000"/>
        </w:rPr>
        <w:footnoteReference w:id="6"/>
      </w:r>
      <w:r w:rsidRPr="00E93A6A">
        <w:t>; mivel a kiskorúak az illegális piaci tevékenységek több mint 70%-</w:t>
      </w:r>
      <w:r w:rsidRPr="00E93A6A">
        <w:t>ában</w:t>
      </w:r>
      <w:r w:rsidRPr="00E93A6A">
        <w:t xml:space="preserve"> részt vesznek, beleértve a kábítószer-kereskedelmet, a zsarolást, az online csalást, a pénzmosást, a tiltott tűzfegyver-kereskedelmet és az „erőszak mint szolgáltatás” rendszereit, és a bűnözői hálózatok akár már 12 éves kortól kihasználhatják a gyermekeket olyan feladatokra, mint az utcai kábítószer-árusítás, a </w:t>
      </w:r>
      <w:r w:rsidRPr="00E93A6A">
        <w:t>készpénzfutárkodás</w:t>
      </w:r>
      <w:r w:rsidRPr="00E93A6A">
        <w:t xml:space="preserve"> és a kábítószer szállítókonténerekből való kiszedése;</w:t>
      </w:r>
    </w:p>
    <w:p w:rsidR="00874931" w:rsidRPr="00E93A6A" w:rsidP="008156F0" w14:paraId="6A2F7856" w14:textId="77777777">
      <w:pPr>
        <w:pStyle w:val="NormalHanging12a"/>
        <w:widowControl/>
        <w:rPr>
          <w:bCs/>
        </w:rPr>
      </w:pPr>
      <w:r w:rsidRPr="00E93A6A">
        <w:rPr>
          <w:snapToGrid w:val="0"/>
        </w:rPr>
        <w:t>G.</w:t>
      </w:r>
      <w:r w:rsidRPr="00E93A6A">
        <w:rPr>
          <w:snapToGrid w:val="0"/>
        </w:rPr>
        <w:tab/>
      </w:r>
      <w:r w:rsidRPr="00E93A6A">
        <w:t>mivel a bűnszervezetek szisztematikusan a rendkívül kiszolgáltatott helyzetben lévő gyermekeket veszik célba, különösen azokat, akik társadalmi-gazdasági kirekesztéssel, iskolai lemorzsolódással és a család felbomlásával szembesülnek, vagy migráns gyermekeket, kihasználva gazdaságilag bizonytalan helyzetüket, társadalmi marginalizálódásukat és a kockázatokkal kapcsolatos tudatosságuk hiányát;</w:t>
      </w:r>
    </w:p>
    <w:p w:rsidR="00874931" w:rsidRPr="00E93A6A" w:rsidP="008156F0" w14:paraId="3A286C16" w14:textId="77777777">
      <w:pPr>
        <w:pStyle w:val="NormalHanging12a"/>
        <w:widowControl/>
        <w:rPr>
          <w:bCs/>
        </w:rPr>
      </w:pPr>
      <w:r w:rsidRPr="00E93A6A">
        <w:rPr>
          <w:snapToGrid w:val="0"/>
        </w:rPr>
        <w:t>H.</w:t>
      </w:r>
      <w:r w:rsidRPr="00E93A6A">
        <w:rPr>
          <w:snapToGrid w:val="0"/>
        </w:rPr>
        <w:tab/>
      </w:r>
      <w:r w:rsidRPr="00E93A6A">
        <w:t>mivel a lányok és a fiatal nők egyre nagyobb mértékben vesznek részt a szervezett bűnözésben, bár a büntető igazságszolgáltatási rendszerek gyakran figyelmen kívül hagyják őket, és Nyugat- és Dél-Európában az emberkereskedelem azonosított áldozatainak 22%-át kényszerítik bűncselekményekre, elsősorban kábítószer-kereskedelemre;</w:t>
      </w:r>
    </w:p>
    <w:p w:rsidR="00874931" w:rsidRPr="00E93A6A" w:rsidP="008156F0" w14:paraId="3BC75099" w14:textId="23E7ABC2">
      <w:pPr>
        <w:pStyle w:val="NormalHanging12a"/>
        <w:widowControl/>
      </w:pPr>
      <w:r w:rsidRPr="00E93A6A">
        <w:rPr>
          <w:snapToGrid w:val="0"/>
        </w:rPr>
        <w:t>I.</w:t>
      </w:r>
      <w:r w:rsidRPr="00E93A6A">
        <w:rPr>
          <w:snapToGrid w:val="0"/>
        </w:rPr>
        <w:tab/>
      </w:r>
      <w:r w:rsidRPr="00E93A6A">
        <w:t xml:space="preserve">mivel a tűzfegyverek tiltott kereskedelme és a pirotechnikai termékek illegális használata hozzájárult ahhoz, hogy az alacsony szintű bűncselekményekről áttérjenek a kiskorúakat bevonó súlyosabb és erőszakosabb bűncselekményekre, beleértve a zsarolást és a gyilkosságokat is; mivel a bűnözői toborzók jelentős pénzügyi ösztönzőket kínálhatnak a kiskorúaknak, amelyek néhány ezer </w:t>
      </w:r>
      <w:r w:rsidR="008156F0">
        <w:t>EUR-tól</w:t>
      </w:r>
      <w:r w:rsidRPr="00E93A6A" w:rsidR="008156F0">
        <w:t xml:space="preserve"> </w:t>
      </w:r>
      <w:r w:rsidRPr="00E93A6A">
        <w:t>a gyilkosságok esetében akár 20 000 </w:t>
      </w:r>
      <w:r w:rsidR="008156F0">
        <w:t>EUR-ig</w:t>
      </w:r>
      <w:r w:rsidRPr="00E93A6A" w:rsidR="008156F0">
        <w:t xml:space="preserve"> </w:t>
      </w:r>
      <w:r w:rsidRPr="00E93A6A">
        <w:t>terjedhetnek;</w:t>
      </w:r>
    </w:p>
    <w:p w:rsidR="00874931" w:rsidRPr="00E93A6A" w:rsidP="008156F0" w14:paraId="686BD7CB" w14:textId="77777777">
      <w:pPr>
        <w:pStyle w:val="NormalHanging12a"/>
        <w:widowControl/>
      </w:pPr>
      <w:r w:rsidRPr="00E93A6A">
        <w:rPr>
          <w:snapToGrid w:val="0"/>
        </w:rPr>
        <w:t>J.</w:t>
      </w:r>
      <w:r w:rsidRPr="00E93A6A">
        <w:rPr>
          <w:snapToGrid w:val="0"/>
        </w:rPr>
        <w:tab/>
      </w:r>
      <w:r w:rsidRPr="00E93A6A">
        <w:t>mivel a kábítószerrel kapcsolatos megfélemlítés és kényszerítés az elsődleges módja annak, ahogy a szervezett bűnözői hálózatok adóssággal, behálózással (</w:t>
      </w:r>
      <w:r w:rsidRPr="00E93A6A">
        <w:t>grooming</w:t>
      </w:r>
      <w:r w:rsidRPr="00E93A6A">
        <w:t xml:space="preserve">) és erőszakkal toborozzák és kizsákmányolják a gyermekeket; mivel az ilyen hálózatok </w:t>
      </w:r>
      <w:r w:rsidRPr="00E93A6A">
        <w:t>határokon átnyúló kiterjedése azt jelenti, hogy ezeket a jelenségeket nem lehet kizárólag nemzeti fellépéssel megfelelően kezelni;</w:t>
      </w:r>
    </w:p>
    <w:p w:rsidR="00874931" w:rsidRPr="00E93A6A" w:rsidP="008156F0" w14:paraId="0C427B43" w14:textId="77777777">
      <w:pPr>
        <w:pStyle w:val="NormalHanging12a"/>
        <w:widowControl/>
      </w:pPr>
      <w:r w:rsidRPr="00E93A6A">
        <w:rPr>
          <w:snapToGrid w:val="0"/>
        </w:rPr>
        <w:t>K.</w:t>
      </w:r>
      <w:r w:rsidRPr="00E93A6A">
        <w:rPr>
          <w:snapToGrid w:val="0"/>
        </w:rPr>
        <w:tab/>
      </w:r>
      <w:r w:rsidRPr="00E93A6A">
        <w:t>mivel a kábítószerpiacok bővülése riasztó szintre emelte a kiskorúak bevonását, amint azt a fontos logisztikai csomópontok, köztük a kikötők használatának ugrásszerű növekedése is bizonyítja; mivel a szervezett bűnözés jelenlegi fogalommeghatározása nem fejt ki harmonizált hatásokat az uniós tagállamokban, ami megnehezíti az adatgyűjtést és az összehasonlíthatóságot, és mivel a szervezett bűnözésben részt vevő kiskorúakra vonatkozó adatok szűkösek, gyakran megbízhatatlanok és alig összehasonlíthatók a büntetőjogi felelősségre vonhatóság eltérő korhatára és az alacsony bejelentési arány miatt;</w:t>
      </w:r>
    </w:p>
    <w:p w:rsidR="00874931" w:rsidRPr="00E93A6A" w:rsidP="008156F0" w14:paraId="6D7F7E1F" w14:textId="77777777">
      <w:pPr>
        <w:pStyle w:val="NormalHanging12a"/>
        <w:widowControl/>
      </w:pPr>
      <w:r w:rsidRPr="00E93A6A">
        <w:rPr>
          <w:snapToGrid w:val="0"/>
        </w:rPr>
        <w:t>L.</w:t>
      </w:r>
      <w:r w:rsidRPr="00E93A6A">
        <w:rPr>
          <w:snapToGrid w:val="0"/>
        </w:rPr>
        <w:tab/>
      </w:r>
      <w:r w:rsidRPr="00E93A6A">
        <w:t>mivel a gyermekek szervezett bűnözői csoportok általi toborzásának kiváltó oka a közszolgáltatásokba – többek között a megelőzésbe, az oktatásba és az egészségügyi szolgáltatásokba – történő beruházások elégtelensége;</w:t>
      </w:r>
    </w:p>
    <w:p w:rsidR="00874931" w:rsidRPr="00E93A6A" w:rsidP="008156F0" w14:paraId="4F1661B9" w14:textId="77777777">
      <w:pPr>
        <w:pStyle w:val="NormalHanging12a"/>
        <w:widowControl/>
      </w:pPr>
      <w:r w:rsidRPr="00E93A6A">
        <w:rPr>
          <w:snapToGrid w:val="0"/>
        </w:rPr>
        <w:t>M.</w:t>
      </w:r>
      <w:r w:rsidRPr="00E93A6A">
        <w:rPr>
          <w:snapToGrid w:val="0"/>
        </w:rPr>
        <w:tab/>
      </w:r>
      <w:r w:rsidRPr="00E93A6A">
        <w:t xml:space="preserve">mivel a széttagolt intézményi válaszok, valamint a gyermekvédelmi rendszerek, az igazságügyi hatóságok, a biztonsági ügynökségek és a digitális szabályozók közötti elégtelen koordináció olyan hiányosságokat teremtenek, amelyeket a bűnözői csoportok kihasználnak; mivel a Parlament </w:t>
      </w:r>
      <w:r w:rsidRPr="00E93A6A">
        <w:t>Mehdi</w:t>
      </w:r>
      <w:r w:rsidRPr="00E93A6A">
        <w:t xml:space="preserve"> </w:t>
      </w:r>
      <w:r w:rsidRPr="00E93A6A">
        <w:t>Kessaci</w:t>
      </w:r>
      <w:r w:rsidRPr="00E93A6A">
        <w:t xml:space="preserve"> marseille-i meggyilkolásáról szóló állásfoglalása elítélte a fiatalok bűnbandák általi szisztematikus toborzását, és fokozott megelőzésre, védelemre és büntetőeljárás alá vonásra szólított fel, beleértve a kiskorúaknak a kizsákmányolás elől való meneküléshez és a társadalomba való visszailleszkedéshez nyújtott külön támogatást is;</w:t>
      </w:r>
    </w:p>
    <w:p w:rsidR="00874931" w:rsidRPr="00E93A6A" w:rsidP="008156F0" w14:paraId="28AFD6CB" w14:textId="77777777">
      <w:pPr>
        <w:pStyle w:val="NormalHanging12a"/>
        <w:widowControl/>
      </w:pPr>
      <w:r w:rsidRPr="00E93A6A">
        <w:rPr>
          <w:snapToGrid w:val="0"/>
        </w:rPr>
        <w:t>N.</w:t>
      </w:r>
      <w:r w:rsidRPr="00E93A6A">
        <w:rPr>
          <w:snapToGrid w:val="0"/>
        </w:rPr>
        <w:tab/>
      </w:r>
      <w:r w:rsidRPr="00E93A6A">
        <w:t xml:space="preserve">mivel az </w:t>
      </w:r>
      <w:r w:rsidRPr="00E93A6A">
        <w:t>Europol</w:t>
      </w:r>
      <w:r w:rsidRPr="00E93A6A">
        <w:t xml:space="preserve"> annak érdekében, hogy azonosítsa a gyermekek közösségi médián és üzenetküldő platformokon keresztül történő toborzására irányuló erőfeszítéseket, 2025 áprilisában a technológiai vállalatokkal való koordináció céljából „GRIMM” néven operatív munkacsoportot hozott létre, amelyet Svédország vezet, és amely Belgium, Dánia, Finnország, Franciaország, Németország, Hollandia és Norvégia rendőrségét tömöríti;</w:t>
      </w:r>
    </w:p>
    <w:p w:rsidR="00874931" w:rsidRPr="00E93A6A" w:rsidP="008156F0" w14:paraId="7CCFE263" w14:textId="77777777">
      <w:pPr>
        <w:pStyle w:val="NormalHanging12a"/>
        <w:widowControl/>
      </w:pPr>
      <w:r w:rsidRPr="00E93A6A">
        <w:rPr>
          <w:snapToGrid w:val="0"/>
        </w:rPr>
        <w:t>O.</w:t>
      </w:r>
      <w:r w:rsidRPr="00E93A6A">
        <w:rPr>
          <w:snapToGrid w:val="0"/>
        </w:rPr>
        <w:tab/>
      </w:r>
      <w:r w:rsidRPr="00E93A6A">
        <w:t xml:space="preserve">mivel a tényeken alapuló megközelítések, például az EU és az UNODC STRIVE </w:t>
      </w:r>
      <w:r w:rsidRPr="00E93A6A">
        <w:t>Juvenile</w:t>
      </w:r>
      <w:r w:rsidRPr="00E93A6A">
        <w:t xml:space="preserve"> projektje keretében kidolgozott megközelítések bizonyítják a megelőzést előtérbe helyező, ágazatközi, traumatudatos, a nemek közötti egyenlőség szempontját érvényesítő és gyermekközpontú válaszok hatékonyságát;</w:t>
      </w:r>
    </w:p>
    <w:p w:rsidR="00874931" w:rsidRPr="00E93A6A" w:rsidP="008156F0" w14:paraId="4E2CFC74" w14:textId="77777777">
      <w:pPr>
        <w:pStyle w:val="NormalHanging12a"/>
        <w:widowControl/>
      </w:pPr>
      <w:r w:rsidRPr="00E93A6A">
        <w:t>1.</w:t>
      </w:r>
      <w:r w:rsidRPr="00E93A6A">
        <w:tab/>
        <w:t>határozottan elítéli a gyermekek szervezett bűnözői és terrorista csoportok általi toborzásának és kizsákmányolásának valamennyi, online és offline formáját;</w:t>
      </w:r>
    </w:p>
    <w:p w:rsidR="00874931" w:rsidRPr="00E93A6A" w:rsidP="008156F0" w14:paraId="2EDDDE29" w14:textId="77777777">
      <w:pPr>
        <w:pStyle w:val="NormalHanging12a"/>
        <w:widowControl/>
        <w:rPr>
          <w:spacing w:val="-2"/>
        </w:rPr>
      </w:pPr>
      <w:r w:rsidRPr="00E93A6A">
        <w:t>2.</w:t>
      </w:r>
      <w:r w:rsidRPr="00E93A6A">
        <w:tab/>
        <w:t>elismeri, hogy a gyermekek toborzása a gyermekek elleni súlyos bűncselekménynek és az emberi jogok súlyos megsértésének minősül; hangsúlyozza, hogy ez egy folyamatosan változó belső és külső biztonsági fenyegetés az Európai Unió számára, amely olyan átfogó választ igényel, amely a védelemre, a korai megelőzésre, a jogokhoz való hozzáférésre és az oktatás folytonosságára összpontosít, összekapcsolja a belső biztonságot, az igazságszolgáltatást, a szociális és oktatási rendszereket, valamint a gyermekek védelmét szolgáló környezet keretének offline és online megerősítését célzó stratégiákat és intézkedéseket;</w:t>
      </w:r>
    </w:p>
    <w:p w:rsidR="00874931" w:rsidRPr="00E93A6A" w:rsidP="008156F0" w14:paraId="10A09394" w14:textId="77777777">
      <w:pPr>
        <w:pStyle w:val="NormalHanging12a"/>
        <w:widowControl/>
        <w:rPr>
          <w:spacing w:val="-2"/>
        </w:rPr>
      </w:pPr>
      <w:r w:rsidRPr="00E93A6A">
        <w:t>3.</w:t>
      </w:r>
      <w:r w:rsidRPr="00E93A6A">
        <w:tab/>
        <w:t>emlékeztet arra, hogy a gyermek mindenekelőtt gyermek, és ennek megfelelően kell kezelni, és felhívja a tagállamokat annak biztosítására, hogy a gyermek mindenek felett álló érdeke mindig elsődleges szempont legyen;</w:t>
      </w:r>
    </w:p>
    <w:p w:rsidR="00874931" w:rsidRPr="00E93A6A" w:rsidP="008156F0" w14:paraId="7B4A4F95" w14:textId="77777777">
      <w:pPr>
        <w:pStyle w:val="NormalHanging12a"/>
        <w:widowControl/>
      </w:pPr>
      <w:r w:rsidRPr="00E93A6A">
        <w:t>4.</w:t>
      </w:r>
      <w:r w:rsidRPr="00E93A6A">
        <w:tab/>
        <w:t xml:space="preserve">felhívja a Bizottságot és a tagállamokat, hogy a gyermekek bűnözéssel szembeni védelméről szóló, küszöbön álló uniós cselekvési tervben kifejezetten ismerjék el kiemelt területként a szervezett bűnözői és terrorista csoportok általi gyermektoborzás megelőzését és az arra adott válaszokat; kéri, hogy ez a cselekvési terv tartalmazzon egy külön megelőzési pillért, amely az iskolákat, a szociális szolgálatokat és a családokat bevonó korai </w:t>
      </w:r>
      <w:r w:rsidRPr="00E93A6A">
        <w:t>előrejelző</w:t>
      </w:r>
      <w:r w:rsidRPr="00E93A6A">
        <w:t xml:space="preserve"> mechanizmusokat, valamint olyan ifjúságközpontú megközelítést tartalmaz, amely az életkészségek közvetlen közösségi szerepvállalás révén történő fejlesztésére összpontosít;</w:t>
      </w:r>
    </w:p>
    <w:p w:rsidR="00874931" w:rsidRPr="00E93A6A" w:rsidP="008156F0" w14:paraId="6CDBF785" w14:textId="77777777">
      <w:pPr>
        <w:pStyle w:val="NormalHanging12a"/>
        <w:widowControl/>
        <w:rPr>
          <w:spacing w:val="-2"/>
        </w:rPr>
      </w:pPr>
      <w:r w:rsidRPr="00E93A6A">
        <w:t>5.</w:t>
      </w:r>
      <w:r w:rsidRPr="00E93A6A">
        <w:tab/>
        <w:t>felhívja a Bizottságot, hogy a szervezett bűnözésre vonatkozó szabályok korszerűsítésére irányuló, küszöbön álló jogalkotási javaslatban is foglalkozzon a gyermekek szervezett bűnözői csoportok általi toborzásával; felkéri a Bizottságot, hogy fontolja meg egyedi rendelkezések – például a gyermekek toborzásával kapcsolatos súlyosbító körülmények – belefoglalását ebbe a javaslatba; e tekintetben megismétli felhívását a „bűnszervezet” olyan új közös fogalommeghatározásának létrehozására, amely figyelembe veszi az erőszak, a korrupció vagy a megfélemlítés bűnözői csoportok általi alkalmazását is;</w:t>
      </w:r>
    </w:p>
    <w:p w:rsidR="00874931" w:rsidRPr="00E93A6A" w:rsidP="008156F0" w14:paraId="4DB394D7" w14:textId="77777777">
      <w:pPr>
        <w:pStyle w:val="NormalHanging12a"/>
        <w:widowControl/>
        <w:rPr>
          <w:spacing w:val="-2"/>
        </w:rPr>
      </w:pPr>
      <w:r w:rsidRPr="00E93A6A">
        <w:t>6.</w:t>
      </w:r>
      <w:r w:rsidRPr="00E93A6A">
        <w:tab/>
        <w:t>felhívja a Bizottságot, hogy a lehető leghamarabb tegyen közzé jogalkotási javaslatot a pirotechnikai termékekről szóló uniós irányelv</w:t>
      </w:r>
      <w:r>
        <w:rPr>
          <w:rStyle w:val="FootnoteReference"/>
        </w:rPr>
        <w:footnoteReference w:id="7"/>
      </w:r>
      <w:r w:rsidRPr="00E93A6A">
        <w:t xml:space="preserve"> felülvizsgálatára a pirotechnikai termékek fegyverként való használatának, többek között a kiszolgáltatott helyzetben lévő fiatalok kizsákmányolásának kezelése érdekében; ösztönzi a tagállamokat, hogy fokozzák az </w:t>
      </w:r>
      <w:r w:rsidRPr="00E93A6A">
        <w:t>Europollal</w:t>
      </w:r>
      <w:r w:rsidRPr="00E93A6A">
        <w:t xml:space="preserve"> és az </w:t>
      </w:r>
      <w:r w:rsidRPr="00E93A6A">
        <w:t>Eurojusttal</w:t>
      </w:r>
      <w:r w:rsidRPr="00E93A6A">
        <w:t xml:space="preserve"> folytatott együttműködést, különösen a kikötőkben, a logisztikai csomópontokban és a kiszolgáltatott közösségekkel rendelkező városi területeken, a bevált gyakorlatok megosztása és a gyermekeket érintő gyanús tevékenységek azonosításával és bejelentésével kapcsolatos képzés biztosítása révén;</w:t>
      </w:r>
    </w:p>
    <w:p w:rsidR="00874931" w:rsidRPr="00E93A6A" w:rsidP="008156F0" w14:paraId="7D61C8C1" w14:textId="77777777">
      <w:pPr>
        <w:pStyle w:val="NormalHanging12a"/>
        <w:widowControl/>
        <w:rPr>
          <w:spacing w:val="-2"/>
        </w:rPr>
      </w:pPr>
      <w:r w:rsidRPr="00E93A6A">
        <w:t>7.</w:t>
      </w:r>
      <w:r w:rsidRPr="00E93A6A">
        <w:tab/>
        <w:t xml:space="preserve">felhívja a Bizottságot és a tagállamokat, hogy ismerjék el a kábítószerekkel kapcsolatos </w:t>
      </w:r>
      <w:r w:rsidRPr="00E93A6A">
        <w:t>megfélemlítést</w:t>
      </w:r>
      <w:r w:rsidRPr="00E93A6A">
        <w:t xml:space="preserve"> mint a szervezett bűnözésbe való toborzás bevett módját; felhívja a tagállamokat annak biztosítására, hogy a gyermekek toborzásával foglalkozó nemzeti stratégiák kifejezetten tartalmazzák a kábítószerrel kapcsolatos megfélemlítésre adott ügynökségközi válaszokat, a bevált gyakorlatok újabb modelljeire építve;</w:t>
      </w:r>
    </w:p>
    <w:p w:rsidR="00874931" w:rsidRPr="00E93A6A" w:rsidP="008156F0" w14:paraId="2B5F8D59" w14:textId="77777777">
      <w:pPr>
        <w:pStyle w:val="NormalHanging12a"/>
        <w:widowControl/>
        <w:rPr>
          <w:bCs/>
          <w:spacing w:val="-2"/>
        </w:rPr>
      </w:pPr>
      <w:r w:rsidRPr="00E93A6A">
        <w:t>8.</w:t>
      </w:r>
      <w:r w:rsidRPr="00E93A6A">
        <w:tab/>
        <w:t>sürgeti a megelőzést előtérbe helyező megközelítés és a gyermekközpontú, a nemek közötti egyenlőség szempontját érvényesítő, traumatudatos és ágazatközi integrált védelmi rendszerek elfogadását, amelyek a veszélyeztetett gyermekek korai azonosítására, a közösségi alapú beavatkozásokra, valamint a családok és a szociális szolgáltatások megerősítésére összpontosítanak; kiemeli a sport, az oktatási szövetségek és a közösségi szervezetek pozitív szerepét a biztonságos, egészséges és inkluzív környezet biztosításában;</w:t>
      </w:r>
    </w:p>
    <w:p w:rsidR="00874931" w:rsidRPr="00E93A6A" w:rsidP="008156F0" w14:paraId="0BBE6547" w14:textId="77777777">
      <w:pPr>
        <w:pStyle w:val="NormalHanging12a"/>
        <w:widowControl/>
      </w:pPr>
      <w:r w:rsidRPr="00E93A6A">
        <w:t>9.</w:t>
      </w:r>
      <w:r w:rsidRPr="00E93A6A">
        <w:tab/>
        <w:t>úgy véli, hogy a szervezett bűnözés határokon átnyúló jellege miatt a tisztán nemzeti áldozatvédelmi válaszlépések nem megfelelőek a gyermekek és a fiatalok számára; megerősített együttműködésre szólít fel a biztonsági, az igazságügyi, a gyermekvédelmi, az oktatási és az egészségügyi ágazat, valamint a köz- és magánszféra közötti partnerségek között a gyermekek védelmét szolgáló környezet integrált és ágazatközi keretének biztosítása érdekében, offline és online egyaránt;</w:t>
      </w:r>
    </w:p>
    <w:p w:rsidR="00874931" w:rsidRPr="00E93A6A" w:rsidP="008156F0" w14:paraId="22401562" w14:textId="77777777">
      <w:pPr>
        <w:pStyle w:val="NormalHanging12a"/>
        <w:widowControl/>
        <w:rPr>
          <w:spacing w:val="-2"/>
        </w:rPr>
      </w:pPr>
      <w:r w:rsidRPr="00E93A6A">
        <w:t>10.</w:t>
      </w:r>
      <w:r w:rsidRPr="00E93A6A">
        <w:tab/>
        <w:t>hangsúlyozza, hogy a gyermekek toborzásának online dimenziója immár központi szerepet játszik a szervezett bűnözői és terrorista csoportok operatív modelljeiben, amelyek szisztematikusan kihasználják a digitális szolgáltatásokat a gyermekek azonosítása, megcélzása, behálózása, manipulálása és kényszerítése céljából; hangsúlyozza, hogy a gyermekek szervezett bűnözői hálózatok általi online toborzása a platformok korlátozott együttműködése miatt jelentős jogérvényesítési hiányosságot teremt; felhívja a Bizottságot és a tagállamokat a platformokra vonatkozó jelenlegi kötelezettségeket betartatására;</w:t>
      </w:r>
    </w:p>
    <w:p w:rsidR="00874931" w:rsidRPr="00E93A6A" w:rsidP="008156F0" w14:paraId="0F811A1C" w14:textId="77777777">
      <w:pPr>
        <w:pStyle w:val="NormalHanging12a"/>
        <w:widowControl/>
      </w:pPr>
      <w:r w:rsidRPr="00E93A6A">
        <w:rPr>
          <w:snapToGrid w:val="0"/>
        </w:rPr>
        <w:t>11.</w:t>
      </w:r>
      <w:r w:rsidRPr="00E93A6A">
        <w:rPr>
          <w:snapToGrid w:val="0"/>
        </w:rPr>
        <w:tab/>
      </w:r>
      <w:r w:rsidRPr="00E93A6A">
        <w:t>felhívja a Bizottságot és a tagállamokat, hogy biztosítsák a digitális szolgáltatásokról szóló rendelet erőteljes, következetes és a gyermekek jogainak megfelelő végrehajtását, összhangban a kiskorúak védelméről szóló bizottsági iránymutatásokkal;</w:t>
      </w:r>
    </w:p>
    <w:p w:rsidR="00874931" w:rsidRPr="00E93A6A" w:rsidP="008156F0" w14:paraId="66D35EEA" w14:textId="77777777">
      <w:pPr>
        <w:pStyle w:val="NormalHanging12a"/>
        <w:widowControl/>
      </w:pPr>
      <w:bookmarkStart w:id="8" w:name="_Hlk231893097"/>
      <w:r w:rsidRPr="00E93A6A">
        <w:rPr>
          <w:snapToGrid w:val="0"/>
        </w:rPr>
        <w:t>12.</w:t>
      </w:r>
      <w:r w:rsidRPr="00E93A6A">
        <w:rPr>
          <w:snapToGrid w:val="0"/>
        </w:rPr>
        <w:tab/>
      </w:r>
      <w:r w:rsidRPr="00E93A6A">
        <w:t xml:space="preserve">felhívja a Bizottságot, hogy biztosítsa az uniós digitális jogszabályok teljes körű végrehajtását, és szükség esetén erősítse meg a platformok azon kötelezettségeit, hogy fellépjenek a gyermekek kizsákmányolása és toborzása ellen, valamint a digitális </w:t>
      </w:r>
      <w:r w:rsidRPr="00E93A6A">
        <w:t>méltányosságról</w:t>
      </w:r>
      <w:r w:rsidRPr="00E93A6A">
        <w:t xml:space="preserve"> szóló, készülő jogszabály révén erősítse meg a kiskorúak online védelmét, megszüntetve a szabályozási hiányosságokat olyan területeken, mint a beépített biztonság, az életkornak megfelelő alapértelmezett beállítások és a gyermekekre irányuló célzott kereskedelmi gyakorlatok, biztosítva ugyanakkor, hogy az új intézkedések továbbra is arányosak maradjanak és tényeken alapuljanak, és összhangban legyenek a tágabb digitális szabályozási kerettel;</w:t>
      </w:r>
      <w:bookmarkEnd w:id="8"/>
    </w:p>
    <w:p w:rsidR="00874931" w:rsidRPr="00E93A6A" w:rsidP="008156F0" w14:paraId="55ED206E" w14:textId="77777777">
      <w:pPr>
        <w:pStyle w:val="NormalHanging12a"/>
        <w:widowControl/>
      </w:pPr>
      <w:r w:rsidRPr="00E93A6A">
        <w:rPr>
          <w:snapToGrid w:val="0"/>
        </w:rPr>
        <w:t>13.</w:t>
      </w:r>
      <w:r w:rsidRPr="00E93A6A">
        <w:rPr>
          <w:snapToGrid w:val="0"/>
        </w:rPr>
        <w:tab/>
      </w:r>
      <w:r w:rsidRPr="00E93A6A">
        <w:t xml:space="preserve">hangsúlyozza a „bűncselekmény mint szolgáltatás” – többek között „az erőszak mint szolgáltatás” – növekvő veszélyét, amelynek révén a fiatalokat online toborozzák erőszakos feladatok elvégzésére; üdvözli az </w:t>
      </w:r>
      <w:r w:rsidRPr="00E93A6A">
        <w:t>Europol</w:t>
      </w:r>
      <w:r w:rsidRPr="00E93A6A">
        <w:t xml:space="preserve"> GRIMM operatív munkacsoportját, és felhívja a tagállamokat, az </w:t>
      </w:r>
      <w:r w:rsidRPr="00E93A6A">
        <w:t>Europolt</w:t>
      </w:r>
      <w:r w:rsidRPr="00E93A6A">
        <w:t xml:space="preserve"> és az </w:t>
      </w:r>
      <w:r w:rsidRPr="00E93A6A">
        <w:t>Eurojustot</w:t>
      </w:r>
      <w:r w:rsidRPr="00E93A6A">
        <w:t>, hogy a toborzókat, felbujtókat és magas szintű szereplőket célzó közös nyomozásokat erősítsék meg ahelyett, hogy a végrehajtási intézkedéseket a bűncselekményeket elkövető kiskorúakra korlátoznák;</w:t>
      </w:r>
    </w:p>
    <w:p w:rsidR="00874931" w:rsidP="008156F0" w14:paraId="05020B9C" w14:textId="01325798">
      <w:pPr>
        <w:pStyle w:val="NormalHanging12a"/>
        <w:widowControl/>
      </w:pPr>
      <w:r w:rsidRPr="00E93A6A">
        <w:rPr>
          <w:snapToGrid w:val="0"/>
        </w:rPr>
        <w:t>14.</w:t>
      </w:r>
      <w:r w:rsidRPr="00E93A6A">
        <w:rPr>
          <w:snapToGrid w:val="0"/>
        </w:rPr>
        <w:tab/>
      </w:r>
      <w:r w:rsidRPr="00E93A6A">
        <w:t>hangsúlyozza, hogy a toborzás eredményeként bűncselekményekben részt vevő gyermekeket a nemzetközi normákkal összhangban kell kezelni; emlékeztet arra, hogy az erőszakos csoportokkal való együttműködést gyakran a fokozatos kényszerítés és a csoportdinamika, nem pedig az ideológiai hovatartozás vezérli;</w:t>
      </w:r>
    </w:p>
    <w:p w:rsidR="009322FE" w:rsidRPr="00E93A6A" w:rsidP="008156F0" w14:paraId="769508A1" w14:textId="0357116D">
      <w:pPr>
        <w:pStyle w:val="NormalHanging12a"/>
        <w:widowControl/>
      </w:pPr>
      <w:r>
        <w:t>15</w:t>
      </w:r>
      <w:r w:rsidRPr="009322FE">
        <w:t>.</w:t>
      </w:r>
      <w:r w:rsidRPr="009322FE">
        <w:tab/>
        <w:t>hangsúlyozza, hogy mindig megfelelően figyelembe kell venni minden egyes eset egyedi körülményeit, beleértve a kényszerítést vagy a kizsákmányolást, valamint az elkövetett bűncselekmény súlyosságát, az elkövető által a közbiztonságra jelentett kockázat szintjét, valamint az alkalmazandó uniós és nemzeti jogot;</w:t>
      </w:r>
    </w:p>
    <w:p w:rsidR="00874931" w:rsidRPr="00E93A6A" w:rsidP="008156F0" w14:paraId="3A840583" w14:textId="3E4446B6">
      <w:pPr>
        <w:pStyle w:val="NormalHanging12a"/>
        <w:widowControl/>
      </w:pPr>
      <w:r>
        <w:rPr>
          <w:snapToGrid w:val="0"/>
        </w:rPr>
        <w:t>16</w:t>
      </w:r>
      <w:r w:rsidRPr="00E93A6A">
        <w:rPr>
          <w:snapToGrid w:val="0"/>
        </w:rPr>
        <w:t>.</w:t>
      </w:r>
      <w:r w:rsidRPr="00E93A6A">
        <w:rPr>
          <w:snapToGrid w:val="0"/>
        </w:rPr>
        <w:tab/>
      </w:r>
      <w:r w:rsidRPr="00E93A6A">
        <w:t xml:space="preserve">gyermekbarát, a nemek közötti egyenlőség szempontját érvényesítő és traumatudatos igazságszolgáltatási rendszereket, valamint személyre szabott, ágazatokon átívelő, traumatudatos </w:t>
      </w:r>
      <w:r w:rsidRPr="00E93A6A">
        <w:t>reintegrációs</w:t>
      </w:r>
      <w:r w:rsidRPr="00E93A6A">
        <w:t xml:space="preserve"> programokat szorgalmaz, beleértve az oktatáshoz, a mentális egészséghez és a </w:t>
      </w:r>
      <w:r w:rsidRPr="00E93A6A">
        <w:t>pszichoszociális</w:t>
      </w:r>
      <w:r w:rsidRPr="00E93A6A">
        <w:t xml:space="preserve"> támogatáshoz, valamint a helyreállítási és </w:t>
      </w:r>
      <w:r w:rsidRPr="00E93A6A">
        <w:t>rehabilitációs szolgáltatásokhoz való hozzáférést, a megtorlással szembeni védelmet, többek között a családok számára, a tisztességes foglalkoztatáshoz vezető utakat, valamint a megbélyegzés és az ismételt toborzás megelőzését célzó intézkedéseket; emlékeztet arra, hogy az (EU) 2016/800 irányelv értelmében a gyermekek szabadságuktól való megfosztását, különösen az őrizetet csak végső eszközként szabad elrendelni, és amennyiben lehetséges, a tagállamok illetékes hatóságainak alternatív intézkedésekhez kell folyamodniuk; megjegyzi, hogy egyes tagállamokban a helyreállító igazságszolgáltatás hatékonynak bizonyult;</w:t>
      </w:r>
    </w:p>
    <w:p w:rsidR="00874931" w:rsidRPr="00E93A6A" w:rsidP="008156F0" w14:paraId="75D44203" w14:textId="5C59775C">
      <w:pPr>
        <w:pStyle w:val="NormalHanging12a"/>
        <w:widowControl/>
      </w:pPr>
      <w:r>
        <w:rPr>
          <w:snapToGrid w:val="0"/>
        </w:rPr>
        <w:t>17</w:t>
      </w:r>
      <w:r w:rsidRPr="00E93A6A">
        <w:rPr>
          <w:snapToGrid w:val="0"/>
        </w:rPr>
        <w:t>.</w:t>
      </w:r>
      <w:r w:rsidRPr="00E93A6A">
        <w:rPr>
          <w:snapToGrid w:val="0"/>
        </w:rPr>
        <w:tab/>
      </w:r>
      <w:r w:rsidRPr="00E93A6A">
        <w:t xml:space="preserve">sürgeti a tagállamokat, hogy a tendenciák és a kockázati tényezők jobb megértése érdekében javítsák a gyermekek szervezett bűnözői és terrorista csoportokba történő toborzására vonatkozó </w:t>
      </w:r>
      <w:r w:rsidRPr="00E93A6A">
        <w:t>interoperábilis</w:t>
      </w:r>
      <w:r w:rsidRPr="00E93A6A">
        <w:t>, ágazatközi adatgyűjtést és -megosztást, beleértve a lebontott és harmonizált uniós szintű adatokat is; hangsúlyozza, hogy a gyermekekre vonatkozó adatok gyűjtésének, kezelésének vagy megosztásának teljes mértékben meg kell felelnie az adatvédelmi szabályoknak és a megkülönböztetésmentesség elvének;</w:t>
      </w:r>
    </w:p>
    <w:p w:rsidR="00874931" w:rsidRPr="00E93A6A" w:rsidP="008156F0" w14:paraId="6AF55B9B" w14:textId="6F44EAB2">
      <w:pPr>
        <w:pStyle w:val="NormalHanging12a"/>
        <w:widowControl/>
      </w:pPr>
      <w:r>
        <w:rPr>
          <w:snapToGrid w:val="0"/>
        </w:rPr>
        <w:t>18</w:t>
      </w:r>
      <w:r w:rsidRPr="00E93A6A">
        <w:rPr>
          <w:snapToGrid w:val="0"/>
        </w:rPr>
        <w:t>.</w:t>
      </w:r>
      <w:r w:rsidRPr="00E93A6A">
        <w:rPr>
          <w:snapToGrid w:val="0"/>
        </w:rPr>
        <w:tab/>
      </w:r>
      <w:r w:rsidRPr="00E93A6A">
        <w:t xml:space="preserve">támogatja az olyan sikeres, tényeken alapuló kezdeményezések kiterjesztését, mint az EU–UNODC STRIVE </w:t>
      </w:r>
      <w:r w:rsidRPr="00E93A6A">
        <w:t>Juvenile</w:t>
      </w:r>
      <w:r w:rsidRPr="00E93A6A">
        <w:t xml:space="preserve"> projekt és annak stratégiai utódja, az EU és az UNODC „A jövő védelme” elnevezésű kezdeményezése, többek között instabil és konfliktus sújtotta környezetben is;</w:t>
      </w:r>
    </w:p>
    <w:p w:rsidR="00874931" w:rsidRPr="00E93A6A" w:rsidP="008156F0" w14:paraId="61C84683" w14:textId="41ECAC8B">
      <w:pPr>
        <w:pStyle w:val="NormalHanging12a"/>
        <w:widowControl/>
      </w:pPr>
      <w:r>
        <w:rPr>
          <w:snapToGrid w:val="0"/>
        </w:rPr>
        <w:t>19</w:t>
      </w:r>
      <w:r w:rsidRPr="00E93A6A">
        <w:rPr>
          <w:snapToGrid w:val="0"/>
        </w:rPr>
        <w:t>.</w:t>
      </w:r>
      <w:r w:rsidRPr="00E93A6A">
        <w:rPr>
          <w:snapToGrid w:val="0"/>
        </w:rPr>
        <w:tab/>
      </w:r>
      <w:r w:rsidRPr="00E93A6A">
        <w:t>szorosabb nemzetközi együttműködésre szólít fel a partnerországokkal a határokon átnyúló toborzási hálózatok kezelése és a bűncselekményekhez kapcsolódó kizsákmányolás kiszervezésének megelőzése érdekében;</w:t>
      </w:r>
    </w:p>
    <w:p w:rsidR="00874931" w:rsidRPr="00E93A6A" w:rsidP="008156F0" w14:paraId="5B45FD82" w14:textId="2FA43055">
      <w:pPr>
        <w:pStyle w:val="NormalHanging12a"/>
        <w:widowControl/>
      </w:pPr>
      <w:r>
        <w:rPr>
          <w:snapToGrid w:val="0"/>
        </w:rPr>
        <w:t>20</w:t>
      </w:r>
      <w:r w:rsidRPr="00E93A6A">
        <w:rPr>
          <w:snapToGrid w:val="0"/>
        </w:rPr>
        <w:t>.</w:t>
      </w:r>
      <w:r w:rsidRPr="00E93A6A">
        <w:rPr>
          <w:snapToGrid w:val="0"/>
        </w:rPr>
        <w:tab/>
      </w:r>
      <w:r w:rsidRPr="00E93A6A">
        <w:t>hangsúlyozza, hogy ezen együttműködés részeként különös figyelmet kell fordítani a fokozottan kiszolgáltatott helyzetben lévő gyermekekre, köztük a kísérő nélküli és migráns gyermekekre, és biztosítani kell a biztonságos bejelentési csatornákhoz, a gyámsághoz, a jogi segítségnyújtáshoz és a jogokon alapuló, határokon átnyúló gyermekvédelmi mechanizmusokhoz való hozzáférést;</w:t>
      </w:r>
    </w:p>
    <w:p w:rsidR="00874931" w:rsidRPr="00E93A6A" w:rsidP="008156F0" w14:paraId="271B4FFA" w14:textId="48DEEC91">
      <w:pPr>
        <w:pStyle w:val="NormalHanging12a"/>
        <w:widowControl/>
      </w:pPr>
      <w:r>
        <w:rPr>
          <w:snapToGrid w:val="0"/>
        </w:rPr>
        <w:t>21</w:t>
      </w:r>
      <w:r w:rsidRPr="00E93A6A">
        <w:rPr>
          <w:snapToGrid w:val="0"/>
        </w:rPr>
        <w:t>.</w:t>
      </w:r>
      <w:r w:rsidRPr="00E93A6A">
        <w:rPr>
          <w:snapToGrid w:val="0"/>
        </w:rPr>
        <w:tab/>
      </w:r>
      <w:r w:rsidRPr="00E93A6A">
        <w:t>hangsúlyozza a kiváltó okok – többek között a szegénység, az egyenlőtlenség, a kirekesztés, az oktatás hiánya, az erőszaknak való kitettség és a közszolgáltatások alulfinanszírozottsága – kezelésének fontosságát; felhívja a Bizottságot és a tagállamokat, hogy növeljék a civil társadalmi szervezetek, a közösségi alapú kezdeményezések, a sportegyesületek és az oktatási programok pénzügyi támogatását a szervezett bűnözői csoportok általi toborzásnak leginkább kitett területeken, hiteles alternatívákat kínálva a bűnözői útvonalakkal szemben;</w:t>
      </w:r>
    </w:p>
    <w:p w:rsidR="00874931" w:rsidRPr="00E93A6A" w:rsidP="008156F0" w14:paraId="5DD7E4F0" w14:textId="2B265FA7">
      <w:pPr>
        <w:pStyle w:val="NormalHanging12a"/>
        <w:widowControl/>
      </w:pPr>
      <w:r>
        <w:rPr>
          <w:snapToGrid w:val="0"/>
        </w:rPr>
        <w:t>22</w:t>
      </w:r>
      <w:r w:rsidRPr="00E93A6A">
        <w:rPr>
          <w:snapToGrid w:val="0"/>
        </w:rPr>
        <w:t>.</w:t>
      </w:r>
      <w:r w:rsidRPr="00E93A6A">
        <w:rPr>
          <w:snapToGrid w:val="0"/>
        </w:rPr>
        <w:tab/>
      </w:r>
      <w:r w:rsidRPr="00E93A6A">
        <w:t>különösen aggódik amiatt, hogy a szervezett bűnözői hálózatok aránytalan mértékben veszik célba és zsákmányolják ki a lányokat és a fiatal nőket, többek között behálózás (</w:t>
      </w:r>
      <w:r w:rsidRPr="00E93A6A">
        <w:t>grooming</w:t>
      </w:r>
      <w:r w:rsidRPr="00E93A6A">
        <w:t xml:space="preserve">), emberkereskedelem és szexuális kizsákmányolás révén; hangsúlyozza, hogy a lányok sajátos akadályokkal szembesülnek a bűnözői kényszerítés előli menekülés, valamint az igazságszolgáltatáshoz, a felépüléshez és a visszailleszkedéshez való hozzáférés terén, és felhívja a tagállamokat annak biztosítására, hogy valamennyi megelőzési, védelmi és támogatási intézkedés vegye figyelembe a nemek közötti egyenlőség szempontját, és kifejezetten foglalkozzon a lányok sebezhetőségével és </w:t>
      </w:r>
      <w:r w:rsidRPr="00E93A6A">
        <w:t>szükségleteivel; e tekintetben emlékeztet az emberkereskedelem elleni irányelvben</w:t>
      </w:r>
      <w:r>
        <w:rPr>
          <w:rStyle w:val="FootnoteReference"/>
        </w:rPr>
        <w:footnoteReference w:id="8"/>
      </w:r>
      <w:r w:rsidRPr="00E93A6A">
        <w:t xml:space="preserve"> meghatározott kötelezettségekre;</w:t>
      </w:r>
    </w:p>
    <w:p w:rsidR="00874931" w:rsidRPr="00E93A6A" w:rsidP="008156F0" w14:paraId="3E76B117" w14:textId="7A304F7F">
      <w:pPr>
        <w:pStyle w:val="NormalHanging12a"/>
        <w:widowControl/>
      </w:pPr>
      <w:r>
        <w:rPr>
          <w:snapToGrid w:val="0"/>
        </w:rPr>
        <w:t>23</w:t>
      </w:r>
      <w:r w:rsidRPr="00E93A6A">
        <w:rPr>
          <w:snapToGrid w:val="0"/>
        </w:rPr>
        <w:t>.</w:t>
      </w:r>
      <w:r w:rsidRPr="00E93A6A">
        <w:rPr>
          <w:snapToGrid w:val="0"/>
        </w:rPr>
        <w:tab/>
      </w:r>
      <w:r w:rsidRPr="00E93A6A">
        <w:t>felhívja a Bizottságot és a tagállamokat, hogy a vonatkozó uniós programok keretében különítsenek el megfelelő finanszírozást a gyermekek szervezett bűnözői és terrorista csoportok általi toborzásának megelőzése és az arra való hatékony reagálás érdekében, és különösen támogassák az eltűnt gyermekek felkutatására fenntartott, 116 000 hívószámú forródrót-hálózatot, amely különböző hivatalokat összekapcsoló, kulcsfontosságú partner a veszélyeztetett gyermekek azonosításában;</w:t>
      </w:r>
    </w:p>
    <w:p w:rsidR="00E365E1" w:rsidRPr="00E93A6A" w:rsidP="0061715C" w14:paraId="4199009D" w14:textId="43D73736">
      <w:pPr>
        <w:pStyle w:val="NormalHanging12a"/>
        <w:widowControl/>
      </w:pPr>
      <w:r>
        <w:rPr>
          <w:snapToGrid w:val="0"/>
        </w:rPr>
        <w:t>24</w:t>
      </w:r>
      <w:r w:rsidRPr="00E93A6A" w:rsidR="00874931">
        <w:rPr>
          <w:snapToGrid w:val="0"/>
        </w:rPr>
        <w:t>.</w:t>
      </w:r>
      <w:r w:rsidRPr="00E93A6A" w:rsidR="00874931">
        <w:rPr>
          <w:snapToGrid w:val="0"/>
        </w:rPr>
        <w:tab/>
      </w:r>
      <w:r w:rsidRPr="00E93A6A" w:rsidR="00874931">
        <w:t xml:space="preserve">utasítja elnökét, hogy továbbítsa ezt az állásfoglalást a Tanácsnak, a Bizottságnak, a tagállamok kormányainak és parlamentjeinek, az </w:t>
      </w:r>
      <w:r w:rsidRPr="00E93A6A" w:rsidR="00874931">
        <w:t>Europolnak</w:t>
      </w:r>
      <w:r w:rsidRPr="00E93A6A" w:rsidR="00874931">
        <w:t>, valamint az ENSZ Kábítószer- és Bűnügyi Hivatalának.</w:t>
      </w:r>
    </w:p>
    <w:sectPr w:rsidSect="00E93A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3A6A" w14:paraId="38C45ED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3A6A" w14:paraId="5BB50D8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3A6A" w14:paraId="558D4BB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74FC3" w:rsidRPr="00E93A6A" w14:paraId="322F14D1" w14:textId="77777777">
      <w:r w:rsidRPr="00E93A6A">
        <w:separator/>
      </w:r>
    </w:p>
  </w:footnote>
  <w:footnote w:type="continuationSeparator" w:id="1">
    <w:p w:rsidR="00D74FC3" w:rsidRPr="00E93A6A" w14:paraId="1B589AA4" w14:textId="77777777">
      <w:r w:rsidRPr="00E93A6A">
        <w:continuationSeparator/>
      </w:r>
    </w:p>
  </w:footnote>
  <w:footnote w:id="2">
    <w:p w:rsidR="00874931" w:rsidRPr="0061715C" w:rsidP="00E93A6A" w14:paraId="4C75F46C" w14:textId="0FD75749">
      <w:pPr>
        <w:pStyle w:val="FootnoteText"/>
        <w:ind w:left="567" w:hanging="567"/>
        <w:rPr>
          <w:sz w:val="24"/>
          <w:szCs w:val="24"/>
          <w:lang w:val="hu-HU"/>
        </w:rPr>
      </w:pPr>
      <w:r w:rsidRPr="0061715C">
        <w:rPr>
          <w:rStyle w:val="FootnoteReference"/>
          <w:sz w:val="24"/>
          <w:szCs w:val="24"/>
          <w:lang w:val="hu-HU"/>
        </w:rPr>
        <w:footnoteRef/>
      </w:r>
      <w:r w:rsidRPr="0061715C" w:rsidR="00E93A6A">
        <w:rPr>
          <w:sz w:val="24"/>
          <w:szCs w:val="24"/>
          <w:lang w:val="hu-HU"/>
        </w:rPr>
        <w:t xml:space="preserve"> </w:t>
      </w:r>
      <w:r w:rsidRPr="0061715C" w:rsidR="00E93A6A">
        <w:rPr>
          <w:sz w:val="24"/>
          <w:szCs w:val="24"/>
          <w:lang w:val="hu-HU"/>
        </w:rPr>
        <w:tab/>
      </w:r>
      <w:r w:rsidRPr="0061715C">
        <w:rPr>
          <w:sz w:val="24"/>
          <w:szCs w:val="24"/>
          <w:lang w:val="hu-HU"/>
        </w:rPr>
        <w:t xml:space="preserve">HL L 277., 2022.10.27., 1. o., ELI: </w:t>
      </w:r>
      <w:hyperlink r:id="rId1" w:history="1">
        <w:r w:rsidRPr="0061715C">
          <w:rPr>
            <w:rStyle w:val="Hyperlink"/>
            <w:sz w:val="24"/>
            <w:szCs w:val="24"/>
            <w:lang w:val="hu-HU"/>
          </w:rPr>
          <w:t>http://data.europa.eu/eli/reg/2022/2065/oj</w:t>
        </w:r>
      </w:hyperlink>
      <w:r w:rsidRPr="0061715C">
        <w:rPr>
          <w:sz w:val="24"/>
          <w:szCs w:val="24"/>
          <w:lang w:val="hu-HU"/>
        </w:rPr>
        <w:t>.</w:t>
      </w:r>
    </w:p>
  </w:footnote>
  <w:footnote w:id="3">
    <w:p w:rsidR="00874931" w:rsidRPr="0061715C" w:rsidP="00E93A6A" w14:paraId="642EAECB" w14:textId="326DF6DF">
      <w:pPr>
        <w:pStyle w:val="FootnoteText"/>
        <w:ind w:left="567" w:hanging="567"/>
        <w:rPr>
          <w:sz w:val="24"/>
          <w:szCs w:val="24"/>
          <w:lang w:val="hu-HU"/>
        </w:rPr>
      </w:pPr>
      <w:r w:rsidRPr="0061715C">
        <w:rPr>
          <w:rStyle w:val="FootnoteReference"/>
          <w:sz w:val="24"/>
          <w:szCs w:val="24"/>
          <w:lang w:val="hu-HU"/>
        </w:rPr>
        <w:footnoteRef/>
      </w:r>
      <w:r w:rsidRPr="0061715C" w:rsidR="00E93A6A">
        <w:rPr>
          <w:sz w:val="24"/>
          <w:szCs w:val="24"/>
          <w:lang w:val="hu-HU"/>
        </w:rPr>
        <w:t xml:space="preserve"> </w:t>
      </w:r>
      <w:r w:rsidRPr="0061715C" w:rsidR="00E93A6A">
        <w:rPr>
          <w:sz w:val="24"/>
          <w:szCs w:val="24"/>
          <w:lang w:val="hu-HU"/>
        </w:rPr>
        <w:tab/>
      </w:r>
      <w:r w:rsidRPr="0061715C">
        <w:rPr>
          <w:sz w:val="24"/>
          <w:szCs w:val="24"/>
          <w:lang w:val="hu-HU"/>
        </w:rPr>
        <w:t xml:space="preserve">HL C, C/2025/5519, 2025.10.10., ELI: </w:t>
      </w:r>
      <w:hyperlink r:id="rId2" w:history="1">
        <w:r w:rsidRPr="0061715C">
          <w:rPr>
            <w:rStyle w:val="Hyperlink"/>
            <w:sz w:val="24"/>
            <w:szCs w:val="24"/>
            <w:lang w:val="hu-HU"/>
          </w:rPr>
          <w:t>http://data.europa.eu/eli/C/2025/5519/oj</w:t>
        </w:r>
      </w:hyperlink>
      <w:r w:rsidRPr="0061715C">
        <w:rPr>
          <w:sz w:val="24"/>
          <w:szCs w:val="24"/>
          <w:lang w:val="hu-HU"/>
        </w:rPr>
        <w:t>.</w:t>
      </w:r>
    </w:p>
  </w:footnote>
  <w:footnote w:id="4">
    <w:p w:rsidR="00874931" w:rsidRPr="0061715C" w:rsidP="00E93A6A" w14:paraId="6DF4A099" w14:textId="667E3EC3">
      <w:pPr>
        <w:pStyle w:val="FootnoteText"/>
        <w:ind w:left="567" w:hanging="567"/>
        <w:rPr>
          <w:sz w:val="24"/>
          <w:szCs w:val="24"/>
          <w:lang w:val="hu-HU"/>
        </w:rPr>
      </w:pPr>
      <w:r w:rsidRPr="0061715C">
        <w:rPr>
          <w:rStyle w:val="FootnoteReference"/>
          <w:sz w:val="24"/>
          <w:szCs w:val="24"/>
          <w:lang w:val="hu-HU"/>
        </w:rPr>
        <w:footnoteRef/>
      </w:r>
      <w:r w:rsidRPr="0061715C" w:rsidR="00E93A6A">
        <w:rPr>
          <w:sz w:val="24"/>
          <w:szCs w:val="24"/>
          <w:lang w:val="hu-HU"/>
        </w:rPr>
        <w:t xml:space="preserve"> </w:t>
      </w:r>
      <w:r w:rsidRPr="0061715C" w:rsidR="00E93A6A">
        <w:rPr>
          <w:sz w:val="24"/>
          <w:szCs w:val="24"/>
          <w:lang w:val="hu-HU"/>
        </w:rPr>
        <w:tab/>
      </w:r>
      <w:r w:rsidRPr="0061715C">
        <w:rPr>
          <w:sz w:val="24"/>
          <w:szCs w:val="24"/>
          <w:lang w:val="hu-HU"/>
        </w:rPr>
        <w:t>Elfogadott szövegek, P10_</w:t>
      </w:r>
      <w:r w:rsidRPr="0061715C">
        <w:rPr>
          <w:sz w:val="24"/>
          <w:szCs w:val="24"/>
          <w:lang w:val="hu-HU"/>
        </w:rPr>
        <w:t>TA(</w:t>
      </w:r>
      <w:r w:rsidRPr="0061715C">
        <w:rPr>
          <w:sz w:val="24"/>
          <w:szCs w:val="24"/>
          <w:lang w:val="hu-HU"/>
        </w:rPr>
        <w:t>2026)0007.</w:t>
      </w:r>
    </w:p>
  </w:footnote>
  <w:footnote w:id="5">
    <w:p w:rsidR="00874931" w:rsidRPr="0061715C" w:rsidP="00E93A6A" w14:paraId="5CC1FB47" w14:textId="2B8F2861">
      <w:pPr>
        <w:pStyle w:val="FootnoteText"/>
        <w:ind w:left="567" w:hanging="567"/>
        <w:rPr>
          <w:sz w:val="24"/>
          <w:szCs w:val="24"/>
          <w:lang w:val="hu-HU"/>
        </w:rPr>
      </w:pPr>
      <w:r w:rsidRPr="0061715C">
        <w:rPr>
          <w:rStyle w:val="FootnoteReference"/>
          <w:sz w:val="24"/>
          <w:szCs w:val="24"/>
          <w:lang w:val="hu-HU"/>
        </w:rPr>
        <w:footnoteRef/>
      </w:r>
      <w:r w:rsidRPr="0061715C" w:rsidR="00E93A6A">
        <w:rPr>
          <w:sz w:val="24"/>
          <w:szCs w:val="24"/>
          <w:lang w:val="hu-HU"/>
        </w:rPr>
        <w:t xml:space="preserve"> </w:t>
      </w:r>
      <w:r w:rsidRPr="0061715C" w:rsidR="00E93A6A">
        <w:rPr>
          <w:sz w:val="24"/>
          <w:szCs w:val="24"/>
          <w:lang w:val="hu-HU"/>
        </w:rPr>
        <w:tab/>
      </w:r>
      <w:r w:rsidRPr="0061715C">
        <w:rPr>
          <w:sz w:val="24"/>
          <w:szCs w:val="24"/>
          <w:lang w:val="hu-HU"/>
        </w:rPr>
        <w:t xml:space="preserve">HL L 132., 2016.5.21., 1. o., ELI: </w:t>
      </w:r>
      <w:hyperlink r:id="rId3" w:history="1">
        <w:r w:rsidRPr="0061715C">
          <w:rPr>
            <w:rStyle w:val="Hyperlink"/>
            <w:sz w:val="24"/>
            <w:szCs w:val="24"/>
            <w:lang w:val="hu-HU"/>
          </w:rPr>
          <w:t>http://data.europa.eu/eli/dir/2016/800/oj</w:t>
        </w:r>
      </w:hyperlink>
      <w:r w:rsidRPr="0061715C">
        <w:rPr>
          <w:sz w:val="24"/>
          <w:szCs w:val="24"/>
          <w:lang w:val="hu-HU"/>
        </w:rPr>
        <w:t>.</w:t>
      </w:r>
    </w:p>
  </w:footnote>
  <w:footnote w:id="6">
    <w:p w:rsidR="00874931" w:rsidRPr="0061715C" w:rsidP="00E93A6A" w14:paraId="18D1A9A3" w14:textId="3FA4A433">
      <w:pPr>
        <w:pStyle w:val="FootnoteText"/>
        <w:ind w:left="567" w:hanging="567"/>
        <w:rPr>
          <w:sz w:val="24"/>
          <w:szCs w:val="24"/>
          <w:lang w:val="hu-HU"/>
        </w:rPr>
      </w:pPr>
      <w:r w:rsidRPr="0061715C">
        <w:rPr>
          <w:rStyle w:val="FootnoteReference"/>
          <w:sz w:val="24"/>
          <w:szCs w:val="24"/>
          <w:lang w:val="hu-HU"/>
        </w:rPr>
        <w:footnoteRef/>
      </w:r>
      <w:r w:rsidRPr="0061715C" w:rsidR="00E93A6A">
        <w:rPr>
          <w:sz w:val="24"/>
          <w:szCs w:val="24"/>
          <w:lang w:val="hu-HU"/>
        </w:rPr>
        <w:t xml:space="preserve"> </w:t>
      </w:r>
      <w:r w:rsidRPr="0061715C" w:rsidR="00E93A6A">
        <w:rPr>
          <w:sz w:val="24"/>
          <w:szCs w:val="24"/>
          <w:lang w:val="hu-HU"/>
        </w:rPr>
        <w:tab/>
      </w:r>
      <w:r w:rsidRPr="0061715C">
        <w:rPr>
          <w:sz w:val="24"/>
          <w:szCs w:val="24"/>
          <w:lang w:val="hu-HU"/>
        </w:rPr>
        <w:t xml:space="preserve">Az </w:t>
      </w:r>
      <w:r w:rsidRPr="0061715C">
        <w:rPr>
          <w:sz w:val="24"/>
          <w:szCs w:val="24"/>
          <w:lang w:val="hu-HU"/>
        </w:rPr>
        <w:t>Europol</w:t>
      </w:r>
      <w:r w:rsidRPr="0061715C">
        <w:rPr>
          <w:sz w:val="24"/>
          <w:szCs w:val="24"/>
          <w:lang w:val="hu-HU"/>
        </w:rPr>
        <w:t xml:space="preserve"> 2024. április 4-i, 2026 májusában frissített jelentése: „</w:t>
      </w:r>
      <w:r w:rsidRPr="0061715C" w:rsidR="008156F0">
        <w:rPr>
          <w:sz w:val="24"/>
          <w:szCs w:val="24"/>
          <w:lang w:val="hu-HU"/>
        </w:rPr>
        <w:t>Decoding</w:t>
      </w:r>
      <w:r w:rsidRPr="0061715C" w:rsidR="008156F0">
        <w:rPr>
          <w:sz w:val="24"/>
          <w:szCs w:val="24"/>
          <w:lang w:val="hu-HU"/>
        </w:rPr>
        <w:t xml:space="preserve"> </w:t>
      </w:r>
      <w:r w:rsidRPr="0061715C" w:rsidR="008156F0">
        <w:rPr>
          <w:sz w:val="24"/>
          <w:szCs w:val="24"/>
          <w:lang w:val="hu-HU"/>
        </w:rPr>
        <w:t>the</w:t>
      </w:r>
      <w:r w:rsidRPr="0061715C" w:rsidR="008156F0">
        <w:rPr>
          <w:sz w:val="24"/>
          <w:szCs w:val="24"/>
          <w:lang w:val="hu-HU"/>
        </w:rPr>
        <w:t xml:space="preserve"> </w:t>
      </w:r>
      <w:r w:rsidRPr="0061715C" w:rsidR="008156F0">
        <w:rPr>
          <w:sz w:val="24"/>
          <w:szCs w:val="24"/>
          <w:lang w:val="hu-HU"/>
        </w:rPr>
        <w:t>EU’s</w:t>
      </w:r>
      <w:r w:rsidRPr="0061715C" w:rsidR="008156F0">
        <w:rPr>
          <w:sz w:val="24"/>
          <w:szCs w:val="24"/>
          <w:lang w:val="hu-HU"/>
        </w:rPr>
        <w:t xml:space="preserve"> most </w:t>
      </w:r>
      <w:r w:rsidRPr="0061715C" w:rsidR="008156F0">
        <w:rPr>
          <w:sz w:val="24"/>
          <w:szCs w:val="24"/>
          <w:lang w:val="hu-HU"/>
        </w:rPr>
        <w:t>threatening</w:t>
      </w:r>
      <w:r w:rsidRPr="0061715C" w:rsidR="008156F0">
        <w:rPr>
          <w:sz w:val="24"/>
          <w:szCs w:val="24"/>
          <w:lang w:val="hu-HU"/>
        </w:rPr>
        <w:t xml:space="preserve"> </w:t>
      </w:r>
      <w:r w:rsidRPr="0061715C" w:rsidR="008156F0">
        <w:rPr>
          <w:sz w:val="24"/>
          <w:szCs w:val="24"/>
          <w:lang w:val="hu-HU"/>
        </w:rPr>
        <w:t>criminal</w:t>
      </w:r>
      <w:r w:rsidRPr="0061715C" w:rsidR="008156F0">
        <w:rPr>
          <w:sz w:val="24"/>
          <w:szCs w:val="24"/>
          <w:lang w:val="hu-HU"/>
        </w:rPr>
        <w:t xml:space="preserve"> </w:t>
      </w:r>
      <w:r w:rsidRPr="0061715C" w:rsidR="008156F0">
        <w:rPr>
          <w:sz w:val="24"/>
          <w:szCs w:val="24"/>
          <w:lang w:val="hu-HU"/>
        </w:rPr>
        <w:t>networks</w:t>
      </w:r>
      <w:r w:rsidRPr="0061715C">
        <w:rPr>
          <w:sz w:val="24"/>
          <w:szCs w:val="24"/>
          <w:lang w:val="hu-HU"/>
        </w:rPr>
        <w:t xml:space="preserve"> [Az EU legnagyobb fenyegetést jelentő bűnözői hálózatai működésének elemzése]”.</w:t>
      </w:r>
    </w:p>
  </w:footnote>
  <w:footnote w:id="7">
    <w:p w:rsidR="00874931" w:rsidRPr="0061715C" w:rsidP="00E93A6A" w14:paraId="3E6599B2" w14:textId="662D321A">
      <w:pPr>
        <w:pStyle w:val="FootnoteText"/>
        <w:ind w:left="567" w:hanging="567"/>
        <w:rPr>
          <w:sz w:val="24"/>
          <w:szCs w:val="24"/>
          <w:lang w:val="hu-HU"/>
        </w:rPr>
      </w:pPr>
      <w:r w:rsidRPr="0061715C">
        <w:rPr>
          <w:rStyle w:val="FootnoteReference"/>
          <w:sz w:val="24"/>
          <w:szCs w:val="24"/>
          <w:lang w:val="hu-HU"/>
        </w:rPr>
        <w:footnoteRef/>
      </w:r>
      <w:r w:rsidRPr="0061715C" w:rsidR="00E93A6A">
        <w:rPr>
          <w:sz w:val="24"/>
          <w:szCs w:val="24"/>
          <w:lang w:val="hu-HU"/>
        </w:rPr>
        <w:t xml:space="preserve"> </w:t>
      </w:r>
      <w:r w:rsidRPr="0061715C" w:rsidR="00E93A6A">
        <w:rPr>
          <w:sz w:val="24"/>
          <w:szCs w:val="24"/>
          <w:lang w:val="hu-HU"/>
        </w:rPr>
        <w:tab/>
      </w:r>
      <w:r w:rsidRPr="0061715C">
        <w:rPr>
          <w:sz w:val="24"/>
          <w:szCs w:val="24"/>
          <w:lang w:val="hu-HU"/>
        </w:rPr>
        <w:t xml:space="preserve">Az Európai Parlament és a Tanács 2013/29/EU irányelve (2013. június 12.) a pirotechnikai termékek forgalmazására vonatkozó tagállami jogszabályok harmonizációjáról (HL L 178., 2013.6.28., 27. o., ELI: </w:t>
      </w:r>
      <w:hyperlink r:id="rId4" w:history="1">
        <w:r w:rsidRPr="0061715C">
          <w:rPr>
            <w:rStyle w:val="Hyperlink"/>
            <w:sz w:val="24"/>
            <w:szCs w:val="24"/>
            <w:lang w:val="hu-HU"/>
          </w:rPr>
          <w:t>http://data.europa.eu/eli/dir/2013/29/oj</w:t>
        </w:r>
      </w:hyperlink>
      <w:r w:rsidRPr="0061715C">
        <w:rPr>
          <w:sz w:val="24"/>
          <w:szCs w:val="24"/>
          <w:lang w:val="hu-HU"/>
        </w:rPr>
        <w:t>).</w:t>
      </w:r>
    </w:p>
  </w:footnote>
  <w:footnote w:id="8">
    <w:p w:rsidR="00874931" w:rsidRPr="0061715C" w:rsidP="00E93A6A" w14:paraId="5AC62671" w14:textId="57B8A475">
      <w:pPr>
        <w:pStyle w:val="FootnoteText"/>
        <w:ind w:left="567" w:hanging="567"/>
        <w:rPr>
          <w:sz w:val="24"/>
          <w:szCs w:val="24"/>
          <w:lang w:val="hu-HU"/>
        </w:rPr>
      </w:pPr>
      <w:r w:rsidRPr="0061715C">
        <w:rPr>
          <w:rStyle w:val="FootnoteReference"/>
          <w:sz w:val="24"/>
          <w:szCs w:val="24"/>
          <w:lang w:val="hu-HU"/>
        </w:rPr>
        <w:footnoteRef/>
      </w:r>
      <w:r w:rsidRPr="0061715C" w:rsidR="00E93A6A">
        <w:rPr>
          <w:sz w:val="24"/>
          <w:szCs w:val="24"/>
          <w:lang w:val="hu-HU"/>
        </w:rPr>
        <w:t xml:space="preserve"> </w:t>
      </w:r>
      <w:r w:rsidRPr="0061715C" w:rsidR="00E93A6A">
        <w:rPr>
          <w:sz w:val="24"/>
          <w:szCs w:val="24"/>
          <w:lang w:val="hu-HU"/>
        </w:rPr>
        <w:tab/>
      </w:r>
      <w:r w:rsidRPr="0061715C">
        <w:rPr>
          <w:sz w:val="24"/>
          <w:szCs w:val="24"/>
          <w:lang w:val="hu-HU"/>
        </w:rPr>
        <w:t xml:space="preserve">Az Európai Parlament és a Tanács (EU) 2024/1712 irányelve (2024. június 13.) az emberkereskedelem megelőzéséről és az ellene folytatott küzdelemről, valamint az áldozatok védelméről szóló 2011/36/EU irányelv módosításáról (HL L, 2024/1712, 2024.6.24., ELI: </w:t>
      </w:r>
      <w:hyperlink r:id="rId5" w:history="1">
        <w:r w:rsidRPr="0061715C">
          <w:rPr>
            <w:rStyle w:val="Hyperlink"/>
            <w:sz w:val="24"/>
            <w:szCs w:val="24"/>
            <w:lang w:val="hu-HU"/>
          </w:rPr>
          <w:t>http://data.europa.eu/eli/dir/2024/1712/oj</w:t>
        </w:r>
      </w:hyperlink>
      <w:r w:rsidRPr="0061715C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3A6A" w14:paraId="1DC5F20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3A6A" w14:paraId="0346B3B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3A6A" w14:paraId="4E754A4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2068451">
    <w:abstractNumId w:val="9"/>
  </w:num>
  <w:num w:numId="2" w16cid:durableId="1240404675">
    <w:abstractNumId w:val="9"/>
  </w:num>
  <w:num w:numId="3" w16cid:durableId="177275161">
    <w:abstractNumId w:val="7"/>
  </w:num>
  <w:num w:numId="4" w16cid:durableId="38284596">
    <w:abstractNumId w:val="7"/>
  </w:num>
  <w:num w:numId="5" w16cid:durableId="745109822">
    <w:abstractNumId w:val="6"/>
  </w:num>
  <w:num w:numId="6" w16cid:durableId="353073845">
    <w:abstractNumId w:val="6"/>
  </w:num>
  <w:num w:numId="7" w16cid:durableId="1781487444">
    <w:abstractNumId w:val="5"/>
  </w:num>
  <w:num w:numId="8" w16cid:durableId="1276136927">
    <w:abstractNumId w:val="5"/>
  </w:num>
  <w:num w:numId="9" w16cid:durableId="608270898">
    <w:abstractNumId w:val="4"/>
  </w:num>
  <w:num w:numId="10" w16cid:durableId="2115007252">
    <w:abstractNumId w:val="4"/>
  </w:num>
  <w:num w:numId="11" w16cid:durableId="1432169137">
    <w:abstractNumId w:val="8"/>
  </w:num>
  <w:num w:numId="12" w16cid:durableId="1893619404">
    <w:abstractNumId w:val="8"/>
  </w:num>
  <w:num w:numId="13" w16cid:durableId="739866447">
    <w:abstractNumId w:val="3"/>
  </w:num>
  <w:num w:numId="14" w16cid:durableId="1862429551">
    <w:abstractNumId w:val="3"/>
  </w:num>
  <w:num w:numId="15" w16cid:durableId="439105014">
    <w:abstractNumId w:val="2"/>
  </w:num>
  <w:num w:numId="16" w16cid:durableId="124584656">
    <w:abstractNumId w:val="2"/>
  </w:num>
  <w:num w:numId="17" w16cid:durableId="2062752319">
    <w:abstractNumId w:val="1"/>
  </w:num>
  <w:num w:numId="18" w16cid:durableId="535584805">
    <w:abstractNumId w:val="1"/>
  </w:num>
  <w:num w:numId="19" w16cid:durableId="2116170215">
    <w:abstractNumId w:val="0"/>
  </w:num>
  <w:num w:numId="20" w16cid:durableId="1336228893">
    <w:abstractNumId w:val="0"/>
  </w:num>
  <w:num w:numId="21" w16cid:durableId="1092509607">
    <w:abstractNumId w:val="9"/>
  </w:num>
  <w:num w:numId="22" w16cid:durableId="1172599853">
    <w:abstractNumId w:val="7"/>
  </w:num>
  <w:num w:numId="23" w16cid:durableId="1193618208">
    <w:abstractNumId w:val="6"/>
  </w:num>
  <w:num w:numId="24" w16cid:durableId="1663385684">
    <w:abstractNumId w:val="5"/>
  </w:num>
  <w:num w:numId="25" w16cid:durableId="659382939">
    <w:abstractNumId w:val="4"/>
  </w:num>
  <w:num w:numId="26" w16cid:durableId="1041129471">
    <w:abstractNumId w:val="8"/>
  </w:num>
  <w:num w:numId="27" w16cid:durableId="462116625">
    <w:abstractNumId w:val="3"/>
  </w:num>
  <w:num w:numId="28" w16cid:durableId="1107503296">
    <w:abstractNumId w:val="2"/>
  </w:num>
  <w:num w:numId="29" w16cid:durableId="122432436">
    <w:abstractNumId w:val="1"/>
  </w:num>
  <w:num w:numId="30" w16cid:durableId="53165255">
    <w:abstractNumId w:val="0"/>
  </w:num>
  <w:num w:numId="31" w16cid:durableId="2012833754">
    <w:abstractNumId w:val="9"/>
  </w:num>
  <w:num w:numId="32" w16cid:durableId="439640051">
    <w:abstractNumId w:val="7"/>
  </w:num>
  <w:num w:numId="33" w16cid:durableId="1884824708">
    <w:abstractNumId w:val="6"/>
  </w:num>
  <w:num w:numId="34" w16cid:durableId="1310089282">
    <w:abstractNumId w:val="5"/>
  </w:num>
  <w:num w:numId="35" w16cid:durableId="1644389040">
    <w:abstractNumId w:val="4"/>
  </w:num>
  <w:num w:numId="36" w16cid:durableId="784807255">
    <w:abstractNumId w:val="8"/>
  </w:num>
  <w:num w:numId="37" w16cid:durableId="2059627772">
    <w:abstractNumId w:val="3"/>
  </w:num>
  <w:num w:numId="38" w16cid:durableId="1623072491">
    <w:abstractNumId w:val="2"/>
  </w:num>
  <w:num w:numId="39" w16cid:durableId="986473451">
    <w:abstractNumId w:val="1"/>
  </w:num>
  <w:num w:numId="40" w16cid:durableId="1563364196">
    <w:abstractNumId w:val="0"/>
  </w:num>
  <w:num w:numId="41" w16cid:durableId="522403121">
    <w:abstractNumId w:val="10"/>
  </w:num>
  <w:num w:numId="42" w16cid:durableId="1040285072">
    <w:abstractNumId w:val="10"/>
  </w:num>
  <w:num w:numId="43" w16cid:durableId="1357122901">
    <w:abstractNumId w:val="10"/>
  </w:num>
  <w:num w:numId="44" w16cid:durableId="7387912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C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95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A43"/>
    <w:rsid w:val="0061715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6F0"/>
    <w:rsid w:val="00817416"/>
    <w:rsid w:val="00842779"/>
    <w:rsid w:val="00865F67"/>
    <w:rsid w:val="00874931"/>
    <w:rsid w:val="00881A7B"/>
    <w:rsid w:val="008840E5"/>
    <w:rsid w:val="00887B3E"/>
    <w:rsid w:val="008C2AC6"/>
    <w:rsid w:val="00930C23"/>
    <w:rsid w:val="0093193B"/>
    <w:rsid w:val="009322FE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4FC3"/>
    <w:rsid w:val="00D834A0"/>
    <w:rsid w:val="00D872DF"/>
    <w:rsid w:val="00D91E21"/>
    <w:rsid w:val="00DA7FCD"/>
    <w:rsid w:val="00E365E1"/>
    <w:rsid w:val="00E820A4"/>
    <w:rsid w:val="00E93A6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75/2026"/>
    <w:docVar w:name="dvlangue" w:val="HU"/>
    <w:docVar w:name="dvnumam" w:val="0"/>
    <w:docVar w:name="dvpe" w:val="783.329"/>
    <w:docVar w:name="dvtitre" w:val="Az Európai Parlament 2026.  ...-i állásfoglalása gyermekek szervezett bűnözői csoportok általi toborzásáról(2026/272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CAF2BC2"/>
  <w15:chartTrackingRefBased/>
  <w15:docId w15:val="{2990F97A-F1FC-4EBB-8F4F-15B962DD7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,Ref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74931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87493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7493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874931"/>
    <w:rPr>
      <w:sz w:val="24"/>
      <w:lang w:val="hu-HU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rsid w:val="00874931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8156F0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2/2065/oj" TargetMode="External" /><Relationship Id="rId2" Type="http://schemas.openxmlformats.org/officeDocument/2006/relationships/hyperlink" Target="http://data.europa.eu/eli/C/2025/5519/oj" TargetMode="External" /><Relationship Id="rId3" Type="http://schemas.openxmlformats.org/officeDocument/2006/relationships/hyperlink" Target="http://data.europa.eu/eli/dir/2016/800/oj" TargetMode="External" /><Relationship Id="rId4" Type="http://schemas.openxmlformats.org/officeDocument/2006/relationships/hyperlink" Target="http://data.europa.eu/eli/dir/2013/29/oj" TargetMode="External" /><Relationship Id="rId5" Type="http://schemas.openxmlformats.org/officeDocument/2006/relationships/hyperlink" Target="http://data.europa.eu/eli/dir/2024/171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2535</Words>
  <Characters>18831</Characters>
  <Application>Microsoft Office Word</Application>
  <DocSecurity>0</DocSecurity>
  <Lines>156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2026-06-18T12:46:00Z</dcterms:created>
  <dcterms:modified xsi:type="dcterms:W3CDTF">2026-06-18T12:46:00Z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B10-0275/2026</vt:lpwstr>
  </property>
  <property fmtid="{D5CDD505-2E9C-101B-9397-08002B2CF9AE}" pid="4" name="&lt;Type&gt;">
    <vt:lpwstr>RR</vt:lpwstr>
  </property>
</Properties>
</file>