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F39A29" w14:textId="77777777" w:rsidTr="0010095E">
        <w:tblPrEx>
          <w:tblW w:w="9072" w:type="dxa"/>
          <w:tblLook w:val="01E0"/>
        </w:tblPrEx>
        <w:trPr>
          <w:trHeight w:hRule="exact" w:val="1418"/>
        </w:trPr>
        <w:tc>
          <w:tcPr>
            <w:tcW w:w="6804" w:type="dxa"/>
            <w:shd w:val="clear" w:color="auto" w:fill="auto"/>
            <w:vAlign w:val="center"/>
          </w:tcPr>
          <w:p w:rsidR="00751A4A" w:rsidRPr="00AF26B1" w:rsidP="0010095E" w14:paraId="36D0D889" w14:textId="4B463F5C">
            <w:pPr>
              <w:pStyle w:val="EPName"/>
            </w:pPr>
            <w:r w:rsidRPr="00AF26B1">
              <w:t>Europos Parlamentas</w:t>
            </w:r>
          </w:p>
          <w:p w:rsidR="00751A4A" w:rsidRPr="00AF26B1" w:rsidP="005F1B17" w14:paraId="050FDF3B" w14:textId="77777777">
            <w:pPr>
              <w:pStyle w:val="EPTerm"/>
              <w:rPr>
                <w:rStyle w:val="HideTWBExt"/>
                <w:noProof w:val="0"/>
                <w:vanish w:val="0"/>
                <w:color w:val="auto"/>
              </w:rPr>
            </w:pPr>
            <w:r w:rsidRPr="00AF26B1">
              <w:t>2024</w:t>
            </w:r>
            <w:r w:rsidRPr="00AF26B1" w:rsidR="00817416">
              <w:t>-202</w:t>
            </w:r>
            <w:r w:rsidRPr="00AF26B1">
              <w:t>9</w:t>
            </w:r>
          </w:p>
        </w:tc>
        <w:tc>
          <w:tcPr>
            <w:tcW w:w="2268" w:type="dxa"/>
            <w:shd w:val="clear" w:color="auto" w:fill="auto"/>
          </w:tcPr>
          <w:p w:rsidR="00751A4A" w:rsidRPr="00AF26B1" w:rsidP="0010095E" w14:paraId="4CF39DA5" w14:textId="77777777">
            <w:pPr>
              <w:pStyle w:val="EPLogo"/>
            </w:pPr>
            <w:r w:rsidRPr="00AF26B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F26B1" w:rsidP="004C5D52" w14:paraId="746DDADA" w14:textId="77777777">
      <w:pPr>
        <w:pStyle w:val="LineTop"/>
      </w:pPr>
    </w:p>
    <w:p w:rsidR="00680577" w:rsidRPr="00AF26B1" w:rsidP="00680577" w14:paraId="3571D3BC" w14:textId="5EB4D49D">
      <w:pPr>
        <w:pStyle w:val="EPBodyTA1"/>
      </w:pPr>
      <w:r w:rsidRPr="00AF26B1">
        <w:t>PRIIMTI TEKSTAI</w:t>
      </w:r>
    </w:p>
    <w:p w:rsidR="00D058B8" w:rsidRPr="00AF26B1" w:rsidP="00D058B8" w14:paraId="6AD4948F" w14:textId="77777777">
      <w:pPr>
        <w:pStyle w:val="LineBottom"/>
      </w:pPr>
    </w:p>
    <w:p w:rsidR="009B5603" w:rsidRPr="00AF26B1" w:rsidP="009B5603" w14:paraId="18574806" w14:textId="2E0BFCFE">
      <w:pPr>
        <w:pStyle w:val="ATHeading1"/>
      </w:pPr>
      <w:bookmarkStart w:id="0" w:name="TANumber"/>
      <w:r w:rsidRPr="00AF26B1">
        <w:t>P10_TA(2026)0</w:t>
      </w:r>
      <w:r w:rsidR="0037668B">
        <w:t>23</w:t>
      </w:r>
      <w:r w:rsidRPr="00AF26B1">
        <w:t>0</w:t>
      </w:r>
      <w:bookmarkEnd w:id="0"/>
    </w:p>
    <w:p w:rsidR="009B5603" w:rsidRPr="00AF26B1" w:rsidP="009B5603" w14:paraId="0BC32D5B" w14:textId="77777777">
      <w:pPr>
        <w:pStyle w:val="ATHeading2"/>
      </w:pPr>
      <w:bookmarkStart w:id="1" w:name="title"/>
      <w:r w:rsidRPr="00AF26B1">
        <w:t>Organizuotų nusikalstamų grupių vykdomas vaikų verbavimas</w:t>
      </w:r>
      <w:bookmarkEnd w:id="1"/>
    </w:p>
    <w:p w:rsidR="009B5603" w:rsidRPr="00AF26B1" w:rsidP="009B5603" w14:paraId="3A5DB285" w14:textId="77777777">
      <w:pPr>
        <w:rPr>
          <w:i/>
          <w:vanish/>
        </w:rPr>
      </w:pPr>
      <w:r>
        <w:rPr>
          <w:i/>
        </w:rPr>
        <w:fldChar w:fldCharType="begin"/>
      </w:r>
      <w:r w:rsidRPr="00AF26B1">
        <w:rPr>
          <w:i/>
        </w:rPr>
        <w:instrText xml:space="preserve"> TC"(</w:instrText>
      </w:r>
      <w:bookmarkStart w:id="2" w:name="DocNumber"/>
      <w:r w:rsidRPr="00AF26B1">
        <w:rPr>
          <w:i/>
        </w:rPr>
        <w:instrText>B10-0275/2026</w:instrText>
      </w:r>
      <w:bookmarkEnd w:id="2"/>
      <w:r w:rsidRPr="00AF26B1">
        <w:rPr>
          <w:i/>
        </w:rPr>
        <w:instrText xml:space="preserve">)"\l3 \n&gt; \* MERGEFORMAT </w:instrText>
      </w:r>
      <w:r>
        <w:rPr>
          <w:i/>
        </w:rPr>
        <w:fldChar w:fldCharType="end"/>
      </w:r>
    </w:p>
    <w:p w:rsidR="009B5603" w:rsidRPr="00AF26B1" w:rsidP="009B5603" w14:paraId="1B42A865" w14:textId="77777777">
      <w:pPr>
        <w:rPr>
          <w:vanish/>
        </w:rPr>
      </w:pPr>
      <w:bookmarkStart w:id="3" w:name="PE"/>
      <w:r w:rsidRPr="00AF26B1">
        <w:rPr>
          <w:vanish/>
        </w:rPr>
        <w:t>PE783.329</w:t>
      </w:r>
      <w:bookmarkEnd w:id="3"/>
    </w:p>
    <w:p w:rsidR="009B5603" w:rsidRPr="00AF26B1" w:rsidP="00E355CE" w14:paraId="60329DE1" w14:textId="573349CA">
      <w:pPr>
        <w:pStyle w:val="ATHeading3"/>
      </w:pPr>
      <w:bookmarkStart w:id="4" w:name="Sujet"/>
      <w:r w:rsidRPr="00AF26B1">
        <w:t xml:space="preserve">2026 m. </w:t>
      </w:r>
      <w:r w:rsidR="00E355CE">
        <w:t>birželio 18</w:t>
      </w:r>
      <w:r w:rsidRPr="00AF26B1">
        <w:t xml:space="preserve"> d. Europos Parlamento rezoliucija dėl organizuotų nusikalstamų grupių vykdomo vaikų verbavimo</w:t>
      </w:r>
      <w:bookmarkEnd w:id="4"/>
      <w:r w:rsidRPr="00AF26B1">
        <w:t xml:space="preserve"> </w:t>
      </w:r>
      <w:bookmarkStart w:id="5" w:name="References"/>
      <w:r w:rsidRPr="00AF26B1">
        <w:t>(2026/2725(RSP))</w:t>
      </w:r>
      <w:bookmarkEnd w:id="5"/>
    </w:p>
    <w:p w:rsidR="002B17BA" w:rsidRPr="00AF26B1" w:rsidP="002B17BA" w14:paraId="203CCDB8" w14:textId="77777777">
      <w:pPr>
        <w:pStyle w:val="EPComma"/>
      </w:pPr>
      <w:bookmarkStart w:id="6" w:name="TextBodyBegin"/>
      <w:bookmarkEnd w:id="6"/>
      <w:r w:rsidRPr="00AF26B1">
        <w:rPr>
          <w:i/>
        </w:rPr>
        <w:t>Europos Parlamentas</w:t>
      </w:r>
      <w:r w:rsidRPr="00AF26B1">
        <w:t>,</w:t>
      </w:r>
    </w:p>
    <w:p w:rsidR="002B17BA" w:rsidRPr="00AF26B1" w:rsidP="002B17BA" w14:paraId="57ACDCB1" w14:textId="77777777">
      <w:pPr>
        <w:pStyle w:val="NormalHanging12a"/>
        <w:rPr>
          <w:spacing w:val="-2"/>
        </w:rPr>
      </w:pPr>
      <w:r w:rsidRPr="00AF26B1">
        <w:t>–</w:t>
      </w:r>
      <w:r w:rsidRPr="00AF26B1">
        <w:tab/>
        <w:t>atsižvelgdamas į JT vaiko teisių konvenciją,</w:t>
      </w:r>
    </w:p>
    <w:p w:rsidR="002B17BA" w:rsidRPr="00AF26B1" w:rsidP="002B17BA" w14:paraId="1D9B4BC5" w14:textId="77777777">
      <w:pPr>
        <w:pStyle w:val="NormalHanging12a"/>
        <w:rPr>
          <w:spacing w:val="-2"/>
        </w:rPr>
      </w:pPr>
      <w:r w:rsidRPr="00AF26B1">
        <w:t>–</w:t>
      </w:r>
      <w:r w:rsidRPr="00AF26B1">
        <w:tab/>
        <w:t>atsižvelgdamas į Jungtinių Tautų Generalinės Asamblėjos rezoliuciją Nr. 79/188 dėl organizuotų nusikalstamų grupių ir teroristinių grupių vykdomo smurto prieš vaikus prevencijos ir kovos su juo nusikaltimų prevencijos ir baudžiamosios teisenos srityje,</w:t>
      </w:r>
    </w:p>
    <w:p w:rsidR="002B17BA" w:rsidRPr="00AF26B1" w:rsidP="002B17BA" w14:paraId="69B67365" w14:textId="77777777">
      <w:pPr>
        <w:pStyle w:val="NormalHanging12a"/>
        <w:rPr>
          <w:spacing w:val="-2"/>
        </w:rPr>
      </w:pPr>
      <w:r w:rsidRPr="00AF26B1">
        <w:t>–</w:t>
      </w:r>
      <w:r w:rsidRPr="00AF26B1">
        <w:tab/>
        <w:t>atsižvelgdamas į Jungtinių Tautų Ekonominės ir Socialinės Tarybos rezoliuciją Nr. 2024/12 dėl elgesio su vaikais, susijusiais su teroristinėmis grupėmis, įskaitant tų grupių verbuojamus ir išnaudojamus vaikus,</w:t>
      </w:r>
    </w:p>
    <w:p w:rsidR="002B17BA" w:rsidRPr="00AF26B1" w:rsidP="002B17BA" w14:paraId="1775D7B0" w14:textId="77777777">
      <w:pPr>
        <w:pStyle w:val="NormalHanging12a"/>
        <w:rPr>
          <w:spacing w:val="-2"/>
        </w:rPr>
      </w:pPr>
      <w:r w:rsidRPr="00AF26B1">
        <w:t>–</w:t>
      </w:r>
      <w:r w:rsidRPr="00AF26B1">
        <w:tab/>
        <w:t>atsižvelgdamas į 2025 m. balandžio 1 d. Komisijos komunikatą „</w:t>
      </w:r>
      <w:r w:rsidRPr="00AF26B1">
        <w:t>ProtectEU</w:t>
      </w:r>
      <w:r w:rsidRPr="00AF26B1">
        <w:t>“ (2025–2030 m.) – Europos vidaus saugumo strategija“ (COM(2025)0148),</w:t>
      </w:r>
    </w:p>
    <w:p w:rsidR="002B17BA" w:rsidRPr="00AF26B1" w:rsidP="002B17BA" w14:paraId="1EE0474B" w14:textId="77777777">
      <w:pPr>
        <w:pStyle w:val="NormalHanging12a"/>
        <w:rPr>
          <w:spacing w:val="-2"/>
        </w:rPr>
      </w:pPr>
      <w:r w:rsidRPr="00AF26B1">
        <w:t>–</w:t>
      </w:r>
      <w:r w:rsidRPr="00AF26B1">
        <w:tab/>
        <w:t>atsižvelgdamas į Europolo pranešimą „2025 m. ES sunkių formų ir organizuoto nusikalstamumo grėsmių įvertinimas“ (ES SOCTA),</w:t>
      </w:r>
    </w:p>
    <w:p w:rsidR="002B17BA" w:rsidRPr="00AF26B1" w:rsidP="002B17BA" w14:paraId="1D1BBF3F" w14:textId="77777777">
      <w:pPr>
        <w:pStyle w:val="NormalHanging12a"/>
        <w:rPr>
          <w:spacing w:val="-2"/>
        </w:rPr>
      </w:pPr>
      <w:r w:rsidRPr="00AF26B1">
        <w:t>–</w:t>
      </w:r>
      <w:r w:rsidRPr="00AF26B1">
        <w:tab/>
        <w:t>atsižvelgdamas į būsimą ES vaikų apsaugos nuo nusikaltimų veiksmų planą,</w:t>
      </w:r>
    </w:p>
    <w:p w:rsidR="002B17BA" w:rsidRPr="00AF26B1" w:rsidP="002B17BA" w14:paraId="4C8493CD" w14:textId="77777777">
      <w:pPr>
        <w:pStyle w:val="NormalHanging12a"/>
        <w:rPr>
          <w:spacing w:val="-2"/>
        </w:rPr>
      </w:pPr>
      <w:r w:rsidRPr="00AF26B1">
        <w:t>–</w:t>
      </w:r>
      <w:r w:rsidRPr="00AF26B1">
        <w:tab/>
        <w:t xml:space="preserve">atsižvelgdamas į ES ir Jungtinių Tautų narkotikų kontrolės ir nusikalstamumo prevencijos biuro (UNODC) projektą „STRIVE </w:t>
      </w:r>
      <w:r w:rsidRPr="00AF26B1">
        <w:t>Juvenile</w:t>
      </w:r>
      <w:r w:rsidRPr="00AF26B1">
        <w:t>“ ir jo vertinimo išvadas,</w:t>
      </w:r>
    </w:p>
    <w:p w:rsidR="002B17BA" w:rsidRPr="00AF26B1" w:rsidP="002B17BA" w14:paraId="1526F6FE" w14:textId="77777777">
      <w:pPr>
        <w:pStyle w:val="NormalHanging12a"/>
      </w:pPr>
      <w:bookmarkStart w:id="7" w:name="_Hlk231207339"/>
      <w:r w:rsidRPr="00AF26B1">
        <w:rPr>
          <w:snapToGrid w:val="0"/>
        </w:rPr>
        <w:t>–</w:t>
      </w:r>
      <w:r w:rsidRPr="00AF26B1">
        <w:rPr>
          <w:snapToGrid w:val="0"/>
        </w:rPr>
        <w:tab/>
      </w:r>
      <w:r w:rsidRPr="00AF26B1">
        <w:t>atsižvelgdamas į 2022 m. spalio 19 d. Europos Parlamento ir Tarybos reglamentą (ES) 2022/2065 dėl bendrosios skaitmeninių paslaugų rinkos, kuriuo iš dalies keičiama Direktyva 2000/31/EB (Skaitmeninių paslaugų aktas)</w:t>
      </w:r>
      <w:r>
        <w:rPr>
          <w:rStyle w:val="FootnoteReference"/>
        </w:rPr>
        <w:footnoteReference w:id="2"/>
      </w:r>
      <w:r w:rsidRPr="00AF26B1">
        <w:t>, ypač į jo nuostatas dėl nepilnamečių apsaugos internete, sisteminės rizikos, susijusios su neteisėtu turiniu ir žalingu elgesiu internete, vertinimo ir mažinimo, rekomendavimo sistemų ir labai didelių interneto platformų ir paieškos sistemų atsakomybės,</w:t>
      </w:r>
    </w:p>
    <w:p w:rsidR="002B17BA" w:rsidRPr="00AF26B1" w:rsidP="002B17BA" w14:paraId="12DE27BF" w14:textId="77777777">
      <w:pPr>
        <w:pStyle w:val="NormalHanging12a"/>
      </w:pPr>
      <w:r w:rsidRPr="00AF26B1">
        <w:rPr>
          <w:snapToGrid w:val="0"/>
        </w:rPr>
        <w:t>–</w:t>
      </w:r>
      <w:r w:rsidRPr="00AF26B1">
        <w:rPr>
          <w:snapToGrid w:val="0"/>
        </w:rPr>
        <w:tab/>
      </w:r>
      <w:r w:rsidRPr="00AF26B1">
        <w:t xml:space="preserve">atsižvelgdamas į 2025 m. liepos 14 d. Komisijos gaires pagal Skaitmeninių paslaugų </w:t>
      </w:r>
      <w:r w:rsidRPr="00AF26B1">
        <w:t>aktą dėl nepilnamečių apsaugos</w:t>
      </w:r>
      <w:r>
        <w:rPr>
          <w:rStyle w:val="FootnoteReference"/>
        </w:rPr>
        <w:footnoteReference w:id="3"/>
      </w:r>
      <w:r w:rsidRPr="00AF26B1">
        <w:t>,</w:t>
      </w:r>
    </w:p>
    <w:p w:rsidR="002B17BA" w:rsidRPr="00AF26B1" w:rsidP="002B17BA" w14:paraId="6FA78A13" w14:textId="77777777">
      <w:pPr>
        <w:pStyle w:val="NormalHanging12a"/>
      </w:pPr>
      <w:r w:rsidRPr="00AF26B1">
        <w:rPr>
          <w:snapToGrid w:val="0"/>
        </w:rPr>
        <w:t>–</w:t>
      </w:r>
      <w:r w:rsidRPr="00AF26B1">
        <w:rPr>
          <w:snapToGrid w:val="0"/>
        </w:rPr>
        <w:tab/>
      </w:r>
      <w:r w:rsidRPr="00AF26B1">
        <w:t>atsižvelgdamas į 2024 m. lapkričio 12 d. Europolo žvalgybos pranešimą „Jaunų nusikaltimų vykdytojų verbavimas nusikaltėlių tinklams“,</w:t>
      </w:r>
    </w:p>
    <w:p w:rsidR="002B17BA" w:rsidRPr="00AF26B1" w:rsidP="002B17BA" w14:paraId="0968E3E1" w14:textId="77777777">
      <w:pPr>
        <w:pStyle w:val="NormalHanging12a"/>
      </w:pPr>
      <w:r w:rsidRPr="00AF26B1">
        <w:rPr>
          <w:snapToGrid w:val="0"/>
        </w:rPr>
        <w:t>–</w:t>
      </w:r>
      <w:r w:rsidRPr="00AF26B1">
        <w:rPr>
          <w:snapToGrid w:val="0"/>
        </w:rPr>
        <w:tab/>
      </w:r>
      <w:r w:rsidRPr="00AF26B1">
        <w:t>atsižvelgdamas į 2024 m. rugsėjo mėn. UNICEF tyrimų centro „</w:t>
      </w:r>
      <w:r w:rsidRPr="00AF26B1">
        <w:t>Innocenti</w:t>
      </w:r>
      <w:r w:rsidRPr="00AF26B1">
        <w:t>“ (Pasaulio mokslinių tyrimų ir prognozavimo biuro) darbinį dokumentą „Vaikų įtraukimas į organizuoto smurto veiklą. Naujos tendencijos ir žinių spragos“,</w:t>
      </w:r>
    </w:p>
    <w:bookmarkEnd w:id="7"/>
    <w:p w:rsidR="002B17BA" w:rsidRPr="00AF26B1" w:rsidP="002B17BA" w14:paraId="17FAF4A6" w14:textId="77777777">
      <w:pPr>
        <w:pStyle w:val="NormalHanging12a"/>
        <w:rPr>
          <w:bCs/>
          <w:spacing w:val="-2"/>
        </w:rPr>
      </w:pPr>
      <w:r w:rsidRPr="00AF26B1">
        <w:t>–</w:t>
      </w:r>
      <w:r w:rsidRPr="00AF26B1">
        <w:tab/>
        <w:t>atsižvelgdamas į ES vaiko teisių strategiją ir ES kovos su narkotikais strategiją,</w:t>
      </w:r>
    </w:p>
    <w:p w:rsidR="002B17BA" w:rsidRPr="00AF26B1" w:rsidP="002B17BA" w14:paraId="118849D7" w14:textId="77777777">
      <w:pPr>
        <w:pStyle w:val="NormalHanging12a"/>
        <w:rPr>
          <w:bCs/>
          <w:spacing w:val="-2"/>
        </w:rPr>
      </w:pPr>
      <w:r w:rsidRPr="00AF26B1">
        <w:t>–</w:t>
      </w:r>
      <w:r w:rsidRPr="00AF26B1">
        <w:tab/>
        <w:t>atsižvelgdamas į 2025 m. birželio 4 d. Piliečių laisvių, teisingumo ir vidaus reikalų komiteto klausymą „</w:t>
      </w:r>
      <w:r w:rsidRPr="00AF26B1">
        <w:t>Radikalizacija</w:t>
      </w:r>
      <w:r w:rsidRPr="00AF26B1">
        <w:t xml:space="preserve"> internete, daugiausia dėmesio skiriant vaikų verbavimui organizuoto nusikalstamumo ir terorizmo tikslais“,</w:t>
      </w:r>
    </w:p>
    <w:p w:rsidR="002B17BA" w:rsidRPr="00AF26B1" w:rsidP="002B17BA" w14:paraId="34858629" w14:textId="77777777">
      <w:pPr>
        <w:pStyle w:val="NormalHanging12a"/>
        <w:rPr>
          <w:bCs/>
          <w:spacing w:val="-2"/>
        </w:rPr>
      </w:pPr>
      <w:r w:rsidRPr="00AF26B1">
        <w:t>–</w:t>
      </w:r>
      <w:r w:rsidRPr="00AF26B1">
        <w:tab/>
        <w:t>atsižvelgdamas į savo 2026 m. sausio 20 d. rezoliuciją „</w:t>
      </w:r>
      <w:r w:rsidRPr="00AF26B1">
        <w:t>Mehdi</w:t>
      </w:r>
      <w:r w:rsidRPr="00AF26B1">
        <w:t xml:space="preserve"> </w:t>
      </w:r>
      <w:r w:rsidRPr="00AF26B1">
        <w:t>Kessaci</w:t>
      </w:r>
      <w:r w:rsidRPr="00AF26B1">
        <w:t xml:space="preserve"> nužudymas: neatidėliotinas poreikis imtis plataus užmojo Europos veiksmų kovojant su prekyba narkotikais“</w:t>
      </w:r>
      <w:r>
        <w:rPr>
          <w:rStyle w:val="FootnoteReference"/>
        </w:rPr>
        <w:footnoteReference w:id="4"/>
      </w:r>
      <w:r w:rsidRPr="00AF26B1">
        <w:t>,</w:t>
      </w:r>
    </w:p>
    <w:p w:rsidR="002B17BA" w:rsidRPr="00AF26B1" w:rsidP="002B17BA" w14:paraId="0178B08F" w14:textId="77777777">
      <w:pPr>
        <w:pStyle w:val="NormalHanging12a"/>
        <w:rPr>
          <w:spacing w:val="-2"/>
        </w:rPr>
      </w:pPr>
      <w:r w:rsidRPr="00AF26B1">
        <w:t>–</w:t>
      </w:r>
      <w:r w:rsidRPr="00AF26B1">
        <w:tab/>
        <w:t>atsižvelgdamas į 2016 m. gegužės 11 d. Europos Parlamento ir Tarybos direktyvą (ES) 2016/800</w:t>
      </w:r>
      <w:r>
        <w:rPr>
          <w:rStyle w:val="FootnoteReference"/>
        </w:rPr>
        <w:footnoteReference w:id="5"/>
      </w:r>
      <w:r w:rsidRPr="00AF26B1">
        <w:t xml:space="preserve"> dėl procesinių garantijų vaikams, kurie baudžiamajame procese yra įtariamieji ar kaltinamieji,</w:t>
      </w:r>
    </w:p>
    <w:p w:rsidR="002B17BA" w:rsidRPr="00AF26B1" w:rsidP="002B17BA" w14:paraId="0E1A1360" w14:textId="77777777">
      <w:pPr>
        <w:pStyle w:val="NormalHanging12a"/>
      </w:pPr>
      <w:r w:rsidRPr="00AF26B1">
        <w:t>–</w:t>
      </w:r>
      <w:r w:rsidRPr="00AF26B1">
        <w:tab/>
        <w:t>atsižvelgdamas į Darbo tvarkos taisyklių 136 straipsnio 2 dalį,</w:t>
      </w:r>
    </w:p>
    <w:p w:rsidR="002B17BA" w:rsidRPr="00AF26B1" w:rsidP="002B17BA" w14:paraId="196610E9" w14:textId="77777777">
      <w:pPr>
        <w:pStyle w:val="NormalHanging12a"/>
      </w:pPr>
      <w:r w:rsidRPr="00AF26B1">
        <w:t>A.</w:t>
      </w:r>
      <w:r w:rsidRPr="00AF26B1">
        <w:rPr>
          <w:snapToGrid w:val="0"/>
        </w:rPr>
        <w:tab/>
      </w:r>
      <w:r w:rsidRPr="00AF26B1">
        <w:t>kadangi organizuotos nusikalstamos grupės ir teroristinės grupės, įgyvendindamos savo veiklos strategijas, vis dažniau verbuoja ir išnaudoja vaikus, be kita ko, siekdamos apsaugoti suaugusius nusikaltėlius nuo jų atskleidimo bei baudžiamojo persekiojimo ir išplėsti neteisėtą veiklą;</w:t>
      </w:r>
    </w:p>
    <w:p w:rsidR="002B17BA" w:rsidRPr="00AF26B1" w:rsidP="002B17BA" w14:paraId="7BA3811C" w14:textId="77777777">
      <w:pPr>
        <w:pStyle w:val="NormalHanging12a"/>
      </w:pPr>
      <w:r w:rsidRPr="00AF26B1">
        <w:rPr>
          <w:snapToGrid w:val="0"/>
        </w:rPr>
        <w:t>B.</w:t>
      </w:r>
      <w:r w:rsidRPr="00AF26B1">
        <w:rPr>
          <w:snapToGrid w:val="0"/>
        </w:rPr>
        <w:tab/>
      </w:r>
      <w:r w:rsidRPr="00AF26B1">
        <w:t>kadangi, remiantis 2024 m. lapkričio mėn. Europolo žvalgybos pranešimu, nusikaltėlių tinklų užverbuoti nepilnamečiai paprastai neturi tiesioginių ryšių su aukštesnėmis organizacijų struktūros grandimis ir yra mobilizuojami per nusikalstamų paslaugų teikėjus; kadangi šie nepilnamečiai turi nedaug žinių apie tinklų struktūrą ir nėra anksčiau teisti, todėl jie yra mažos rizikos vykdytojai, mažiau linkę suteikti naudingos informacijos teisėsaugos institucijoms, jei būtų suimti;</w:t>
      </w:r>
    </w:p>
    <w:p w:rsidR="002B17BA" w:rsidRPr="00AF26B1" w:rsidP="002B17BA" w14:paraId="4A9D1C26" w14:textId="77777777">
      <w:pPr>
        <w:pStyle w:val="NormalHanging12a"/>
      </w:pPr>
      <w:r w:rsidRPr="00AF26B1">
        <w:rPr>
          <w:snapToGrid w:val="0"/>
        </w:rPr>
        <w:t>C.</w:t>
      </w:r>
      <w:r w:rsidRPr="00AF26B1">
        <w:rPr>
          <w:snapToGrid w:val="0"/>
        </w:rPr>
        <w:tab/>
      </w:r>
      <w:r w:rsidRPr="00AF26B1">
        <w:t>kadangi organizuotų nusikalstamų grupių ir teroristinių grupių vykdomas vaikų verbavimas ir išnaudojimas pažeidžia pagrindines vaikų teises, įskaitant jų orumą, ir turi rimtų pasekmių jų saugumui ir ateičiai; kadangi vaikai yra pažeidžiami organizuotų nusikalstamumo tinklų vykdomo verbavimo dėl kumuliacinių ir tarpusavyje susijusių rizikos veiksnių, įskaitant bendrystės jausmo stoką, neigiamą vaikystės patirtį ir psichikos sveikatos problemas, ir tuo yra sąmoningai naudojamasi; kadangi norint užtikrinti veiksmingą prevenciją reikia integruoto atsako, kuriuo būtų šalinami šie veiksniai;</w:t>
      </w:r>
    </w:p>
    <w:p w:rsidR="002B17BA" w:rsidRPr="00AF26B1" w:rsidP="002B17BA" w14:paraId="084DC18A" w14:textId="77777777">
      <w:pPr>
        <w:pStyle w:val="NormalHanging12a"/>
      </w:pPr>
      <w:r w:rsidRPr="00AF26B1">
        <w:rPr>
          <w:snapToGrid w:val="0"/>
        </w:rPr>
        <w:t>D.</w:t>
      </w:r>
      <w:r w:rsidRPr="00AF26B1">
        <w:rPr>
          <w:snapToGrid w:val="0"/>
        </w:rPr>
        <w:tab/>
      </w:r>
      <w:r w:rsidRPr="00AF26B1">
        <w:t xml:space="preserve">kadangi vaikų verbavimas iš pirmiausia humanitarinį susirūpinimą kėlusio klausimo išsivystė į sisteminį organizuotų formų nusikalstamumą palengvinantį veiksnį, tapo neatsiejamas nuo nusikaltėlių tinklų veiklos modelių ir yra kliūtis taikai, saugumui ir </w:t>
      </w:r>
      <w:r w:rsidRPr="00AF26B1">
        <w:t>vystymuisi; kadangi vaikus verbuojančios nusikalstamos grupės kenkia ES saugumui, kursto nusikalstamumą ir įtvirtina smurto ir nesaugumo ciklus tarp kartų;</w:t>
      </w:r>
    </w:p>
    <w:p w:rsidR="002B17BA" w:rsidRPr="00AF26B1" w:rsidP="002B17BA" w14:paraId="2A06758B" w14:textId="77777777">
      <w:pPr>
        <w:pStyle w:val="NormalHanging12a"/>
      </w:pPr>
      <w:r w:rsidRPr="00AF26B1">
        <w:rPr>
          <w:snapToGrid w:val="0"/>
        </w:rPr>
        <w:t>E.</w:t>
      </w:r>
      <w:r w:rsidRPr="00AF26B1">
        <w:rPr>
          <w:snapToGrid w:val="0"/>
        </w:rPr>
        <w:tab/>
      </w:r>
      <w:r w:rsidRPr="00AF26B1">
        <w:t>kadangi šią praktiką palengvina tam tikri technologiniai pokyčiai, kurie gali normalizuoti ir skatinti nusikalstamą vaikų elgesį;</w:t>
      </w:r>
    </w:p>
    <w:p w:rsidR="002B17BA" w:rsidRPr="00AF26B1" w:rsidP="002B17BA" w14:paraId="54D827FE" w14:textId="77777777">
      <w:pPr>
        <w:pStyle w:val="NormalHanging12a"/>
      </w:pPr>
      <w:r w:rsidRPr="00AF26B1">
        <w:rPr>
          <w:snapToGrid w:val="0"/>
        </w:rPr>
        <w:t>F.</w:t>
      </w:r>
      <w:r w:rsidRPr="00AF26B1">
        <w:rPr>
          <w:snapToGrid w:val="0"/>
        </w:rPr>
        <w:tab/>
      </w:r>
      <w:r w:rsidRPr="00AF26B1">
        <w:t>kadangi Europolo 2024 m. padėties nustatymo ataskaitoje nustatyta, kad ES veikia 821 didelės rizikos nusikaltėlių tinklas, generuojantis apie 92–188 mlrd. EUR metinių pajamų, t. y. apie 0,7–1,4 proc. ES BVP</w:t>
      </w:r>
      <w:r>
        <w:rPr>
          <w:rStyle w:val="FootnoteReference"/>
          <w:color w:val="000000"/>
        </w:rPr>
        <w:footnoteReference w:id="6"/>
      </w:r>
      <w:r w:rsidRPr="00AF26B1">
        <w:t>; kadangi nepilnamečiai dalyvauja vykdant daugiau kaip 70 proc. neteisėtos rinkos veiklos, įskaitant prekybą narkotikais, turto prievartavimą, sukčiavimą internete, pinigų plovimą, neteisėtą prekybą šaunamaisiais ginklais ir smurto kaip paslaugos schemas, o nusikaltėlių tinklai išnaudoja jaunesnius nei 12 metų vaikus tokioms užduotims kaip prekyba narkotikais gatvėje, grynųjų pinigų kurjerio ir narkotikų atgabenimo iš krovinių konteinerių paslaugos;</w:t>
      </w:r>
    </w:p>
    <w:p w:rsidR="002B17BA" w:rsidRPr="00AF26B1" w:rsidP="002B17BA" w14:paraId="03831498" w14:textId="77777777">
      <w:pPr>
        <w:pStyle w:val="NormalHanging12a"/>
        <w:rPr>
          <w:bCs/>
        </w:rPr>
      </w:pPr>
      <w:r w:rsidRPr="00AF26B1">
        <w:rPr>
          <w:snapToGrid w:val="0"/>
        </w:rPr>
        <w:t>G.</w:t>
      </w:r>
      <w:r w:rsidRPr="00AF26B1">
        <w:rPr>
          <w:snapToGrid w:val="0"/>
        </w:rPr>
        <w:tab/>
      </w:r>
      <w:r w:rsidRPr="00AF26B1">
        <w:t xml:space="preserve">kadangi nusikalstamos organizuotos grupės sistemingai verbuoja labai pažeidžiamoje padėtyje esančius vaikus, ypač tuos, kurie patiria socialinę ir ekonominę atskirtį, nebaigia mokyklos ir kurių šeimos iširusios, arba vaikus migrantus, išnaudodamos jų ekonominį nesaugumą, socialinę </w:t>
      </w:r>
      <w:r w:rsidRPr="00AF26B1">
        <w:t>marginalizaciją</w:t>
      </w:r>
      <w:r w:rsidRPr="00AF26B1">
        <w:t xml:space="preserve"> ir nepakankamą informuotumą apie riziką;</w:t>
      </w:r>
    </w:p>
    <w:p w:rsidR="002B17BA" w:rsidRPr="00AF26B1" w:rsidP="002B17BA" w14:paraId="56B9AC1C" w14:textId="77777777">
      <w:pPr>
        <w:pStyle w:val="NormalHanging12a"/>
        <w:rPr>
          <w:bCs/>
        </w:rPr>
      </w:pPr>
      <w:r w:rsidRPr="00AF26B1">
        <w:rPr>
          <w:snapToGrid w:val="0"/>
        </w:rPr>
        <w:t>H.</w:t>
      </w:r>
      <w:r w:rsidRPr="00AF26B1">
        <w:rPr>
          <w:snapToGrid w:val="0"/>
        </w:rPr>
        <w:tab/>
      </w:r>
      <w:r w:rsidRPr="00AF26B1">
        <w:t>kadangi mergaitės ir jaunos moterys vis dažniau įtraukiamos į organizuotą nusikalstamą veiklą, nors baudžiamosios teisenos sistemos dažnai šio reiškinio neatskleidžia, o 22 proc. nustatytų prekybos žmonėmis aukų Vakarų ir Pietų Europoje buvo priverstos užsiimti nusikalstama veikla, visų pirma prekyba narkotikais;</w:t>
      </w:r>
    </w:p>
    <w:p w:rsidR="002B17BA" w:rsidRPr="00AF26B1" w:rsidP="002B17BA" w14:paraId="2C0CA469" w14:textId="77777777">
      <w:pPr>
        <w:pStyle w:val="NormalHanging12a"/>
      </w:pPr>
      <w:r w:rsidRPr="00AF26B1">
        <w:rPr>
          <w:snapToGrid w:val="0"/>
        </w:rPr>
        <w:t>I.</w:t>
      </w:r>
      <w:r w:rsidRPr="00AF26B1">
        <w:rPr>
          <w:snapToGrid w:val="0"/>
        </w:rPr>
        <w:tab/>
      </w:r>
      <w:r w:rsidRPr="00AF26B1">
        <w:t>kadangi neteisėta prekyba šaunamaisiais ginklais ir neteisėtas pirotechnikos naudojimas prisidėjo prie to, kad nuo mažų nusikalstamų veikų pereita prie sunkesnių ir smurtinių nusikaltimų, į kuriuos įtraukiami nepilnamečiai, įskaitant turto prievartavimą ir žudymą; kadangi nusikaltėliai verbuotojai nepilnamečiams gali pasiūlyti didelių finansinių paskatų – nuo kelių tūkstančių eurų iki net 20 000 eurų už nužudymą;</w:t>
      </w:r>
    </w:p>
    <w:p w:rsidR="002B17BA" w:rsidRPr="00AF26B1" w:rsidP="002B17BA" w14:paraId="7C0C1BBE" w14:textId="77777777">
      <w:pPr>
        <w:pStyle w:val="NormalHanging12a"/>
      </w:pPr>
      <w:r w:rsidRPr="00AF26B1">
        <w:rPr>
          <w:snapToGrid w:val="0"/>
        </w:rPr>
        <w:t>J.</w:t>
      </w:r>
      <w:r w:rsidRPr="00AF26B1">
        <w:rPr>
          <w:snapToGrid w:val="0"/>
        </w:rPr>
        <w:tab/>
      </w:r>
      <w:r w:rsidRPr="00AF26B1">
        <w:t>kadangi su narkotikais susijęs bauginimas ir prievarta yra pagrindinis metodas, kurį pasitelkdami organizuotų nusikaltėlių tinklai verbuoja ir išnaudoja vaikus, naudodami skolas, viliojimą ir smurtą; kadangi tarpvalstybinė tokių tinklų aprėptis reiškia, kad su šiais reiškiniais negalima tinkamai kovoti vien imantis nacionalinių veiksmų;</w:t>
      </w:r>
    </w:p>
    <w:p w:rsidR="002B17BA" w:rsidRPr="00AF26B1" w:rsidP="002B17BA" w14:paraId="779152CA" w14:textId="77777777">
      <w:pPr>
        <w:pStyle w:val="NormalHanging12a"/>
      </w:pPr>
      <w:r w:rsidRPr="00AF26B1">
        <w:rPr>
          <w:snapToGrid w:val="0"/>
        </w:rPr>
        <w:t>K.</w:t>
      </w:r>
      <w:r w:rsidRPr="00AF26B1">
        <w:rPr>
          <w:snapToGrid w:val="0"/>
        </w:rPr>
        <w:tab/>
      </w:r>
      <w:r w:rsidRPr="00AF26B1">
        <w:t>kadangi dėl prekybos narkotikais rinkų plėtros nepilnamečių įsitraukimas pasiekė nerimą keliantį lygį, kaip matyti iš smarkiai išaugusio naudojimosi svarbiais logistikos centrais, įskaitant uostus; kadangi dėl to, kad dabartinė organizuoto nusikalstamumo apibrėžtis neturi suderinto poveikio visose ES valstybėse narėse, apsunkinamas duomenų rinkimas ir palyginamumas ir kadangi duomenys apie nepilnamečius, dalyvaujančius vykdant organizuotą nusikalstamą veiklą, yra riboti, dažnai yra nepatikimi ir sunkiai palyginami dėl to, kad skiriasi amžiaus, nuo kurio taikoma baudžiamoji atsakomybė, riba ir dėl to, kad apie juos nepakankamai pranešama;</w:t>
      </w:r>
    </w:p>
    <w:p w:rsidR="002B17BA" w:rsidRPr="00AF26B1" w:rsidP="002B17BA" w14:paraId="1D21F882" w14:textId="77777777">
      <w:pPr>
        <w:pStyle w:val="NormalHanging12a"/>
      </w:pPr>
      <w:r w:rsidRPr="00AF26B1">
        <w:rPr>
          <w:snapToGrid w:val="0"/>
        </w:rPr>
        <w:t>L.</w:t>
      </w:r>
      <w:r w:rsidRPr="00AF26B1">
        <w:rPr>
          <w:snapToGrid w:val="0"/>
        </w:rPr>
        <w:tab/>
      </w:r>
      <w:r w:rsidRPr="00AF26B1">
        <w:t>kadangi nepakankamos investicijos į viešąsias paslaugas, įskaitant prevencijos, švietimo ir sveikatos priežiūros paslaugas, yra pagrindinės organizuotų nusikalstamų grupių vykdomo vaikų verbavimo priežastys;</w:t>
      </w:r>
    </w:p>
    <w:p w:rsidR="002B17BA" w:rsidRPr="00AF26B1" w:rsidP="002B17BA" w14:paraId="3B476712" w14:textId="77777777">
      <w:pPr>
        <w:pStyle w:val="NormalHanging12a"/>
      </w:pPr>
      <w:r w:rsidRPr="00AF26B1">
        <w:rPr>
          <w:snapToGrid w:val="0"/>
        </w:rPr>
        <w:t>M.</w:t>
      </w:r>
      <w:r w:rsidRPr="00AF26B1">
        <w:rPr>
          <w:snapToGrid w:val="0"/>
        </w:rPr>
        <w:tab/>
      </w:r>
      <w:r w:rsidRPr="00AF26B1">
        <w:t xml:space="preserve">kadangi dėl fragmentiško institucinio atsako ir nepakankamo vaiko apsaugos sistemų, teisingumo institucijų, saugumo agentūrų ir skaitmeninių reguliavimo institucijų veiklos koordinavimo atsiranda spragų, kuriomis naudojasi nusikalstamos grupės; kadangi Parlamento rezoliucijoje dėl </w:t>
      </w:r>
      <w:r w:rsidRPr="00AF26B1">
        <w:t>Mehdi</w:t>
      </w:r>
      <w:r w:rsidRPr="00AF26B1">
        <w:t xml:space="preserve"> </w:t>
      </w:r>
      <w:r w:rsidRPr="00AF26B1">
        <w:t>Kessaci</w:t>
      </w:r>
      <w:r w:rsidRPr="00AF26B1">
        <w:t xml:space="preserve"> nužudymo Marselyje smerkiamas sistemingas jaunuolių verbavimas, kurį vykdo nusikalstamos grupuotės, ir raginama stiprinti prevenciją, apsaugą ir baudžiamąjį persekiojimą, įskaitant specializuotą paramą nepilnamečiams, kad jie galėtų išvengti išnaudojimo ir </w:t>
      </w:r>
      <w:r w:rsidRPr="00AF26B1">
        <w:t>reintegruotis</w:t>
      </w:r>
      <w:r w:rsidRPr="00AF26B1">
        <w:t xml:space="preserve"> į visuomenę;</w:t>
      </w:r>
    </w:p>
    <w:p w:rsidR="002B17BA" w:rsidRPr="00AF26B1" w:rsidP="002B17BA" w14:paraId="3D4A0132" w14:textId="77777777">
      <w:pPr>
        <w:pStyle w:val="NormalHanging12a"/>
      </w:pPr>
      <w:r w:rsidRPr="00AF26B1">
        <w:rPr>
          <w:snapToGrid w:val="0"/>
        </w:rPr>
        <w:t>N.</w:t>
      </w:r>
      <w:r w:rsidRPr="00AF26B1">
        <w:rPr>
          <w:snapToGrid w:val="0"/>
        </w:rPr>
        <w:tab/>
      </w:r>
      <w:r w:rsidRPr="00AF26B1">
        <w:t>kadangi 2025 m. balandžio mėn. Europolas įsteigė operatyvinę darbo grupę GRIMM, kurios užduotis – koordinuoti veiksmus su technologijų įmonėmis, kad būtų nustatytos pastangos verbuoti vaikus socialiniuose tinkluose ir pranešimų platformose; šiai darbo grupei vadovauja Švedija, o jos veikloje dalyvauja Belgijos, Danijos, Nyderlandų, Norvegijos, Prancūzijos, Suomijos ir Vokietijos policija;</w:t>
      </w:r>
    </w:p>
    <w:p w:rsidR="002B17BA" w:rsidRPr="00AF26B1" w:rsidP="002B17BA" w14:paraId="5B1CA4F8" w14:textId="77777777">
      <w:pPr>
        <w:pStyle w:val="NormalHanging12a"/>
      </w:pPr>
      <w:r w:rsidRPr="00AF26B1">
        <w:rPr>
          <w:snapToGrid w:val="0"/>
        </w:rPr>
        <w:t>O.</w:t>
      </w:r>
      <w:r w:rsidRPr="00AF26B1">
        <w:rPr>
          <w:snapToGrid w:val="0"/>
        </w:rPr>
        <w:tab/>
      </w:r>
      <w:r w:rsidRPr="00AF26B1">
        <w:t xml:space="preserve">kadangi įrodymais grindžiami metodai, pvz., parengti pagal ES ir UNODC projektą „STRIVE </w:t>
      </w:r>
      <w:r w:rsidRPr="00AF26B1">
        <w:t>Juvenile</w:t>
      </w:r>
      <w:r w:rsidRPr="00AF26B1">
        <w:t>“, įrodo principu „pirmiausia – prevencija“ grindžiamo, tarpsektorinio, traumos suvokimu pagrįsto, į lyčių lygybę ir į vaiką orientuoto atsako veiksmingumą;</w:t>
      </w:r>
    </w:p>
    <w:p w:rsidR="002B17BA" w:rsidRPr="00AF26B1" w:rsidP="002B17BA" w14:paraId="74F194B5" w14:textId="77777777">
      <w:pPr>
        <w:pStyle w:val="NormalHanging12a"/>
      </w:pPr>
      <w:r w:rsidRPr="00AF26B1">
        <w:t>1.</w:t>
      </w:r>
      <w:r w:rsidRPr="00AF26B1">
        <w:tab/>
        <w:t>griežtai smerkia visų formų organizuotų nusikalstamų grupių ir teroristinių grupių vykdomą vaikų verbavimą ir išnaudojimą tiek internete, tiek realiame gyvenime;</w:t>
      </w:r>
    </w:p>
    <w:p w:rsidR="002B17BA" w:rsidRPr="00AF26B1" w:rsidP="002B17BA" w14:paraId="72E2E30E" w14:textId="77777777">
      <w:pPr>
        <w:pStyle w:val="NormalHanging12a"/>
        <w:rPr>
          <w:spacing w:val="-2"/>
        </w:rPr>
      </w:pPr>
      <w:r w:rsidRPr="00AF26B1">
        <w:t>2.</w:t>
      </w:r>
      <w:r w:rsidRPr="00AF26B1">
        <w:tab/>
        <w:t>pripažįsta, kad vaikų verbavimas yra sunkus nusikaltimas prieš vaikus ir sunkus žmogaus teisių pažeidimas; pabrėžia, kad tai yra kintanti grėsmė Europos Sąjungos vidaus ir išorės saugumui, į kurią reikia reaguoti visapusiškai, daugiausia dėmesio skiriant apsaugai, ankstyvajai prevencijai, galimybei naudotis teisėmis ir švietimo tęstinumui, integruojant vidaus saugumo, teisingumo, socialines ir švietimo sistemas, taip pat strategijas ir priemones, kuriomis siekiama stiprinti vaikams saugią aplinką užtikrinančią sistemą tiek realiame gyvenime, tiek internete;</w:t>
      </w:r>
    </w:p>
    <w:p w:rsidR="002B17BA" w:rsidRPr="00AF26B1" w:rsidP="002B17BA" w14:paraId="052D814E" w14:textId="77777777">
      <w:pPr>
        <w:pStyle w:val="NormalHanging12a"/>
        <w:rPr>
          <w:spacing w:val="-2"/>
        </w:rPr>
      </w:pPr>
      <w:r w:rsidRPr="00AF26B1">
        <w:t>3.</w:t>
      </w:r>
      <w:r w:rsidRPr="00AF26B1">
        <w:tab/>
        <w:t>primena, kad vaikas visų pirma yra vaikas, todėl su juo turėtų būti atitinkamai elgiamasi, ir ragina valstybes nares užtikrinti, kad visais atvejais pirmiausia būtų atsižvelgiama į geriausius vaiko interesus;</w:t>
      </w:r>
    </w:p>
    <w:p w:rsidR="002B17BA" w:rsidRPr="00AF26B1" w:rsidP="002B17BA" w14:paraId="3DC6527F" w14:textId="77777777">
      <w:pPr>
        <w:pStyle w:val="NormalHanging12a"/>
      </w:pPr>
      <w:r w:rsidRPr="00AF26B1">
        <w:t>4.</w:t>
      </w:r>
      <w:r w:rsidRPr="00AF26B1">
        <w:tab/>
        <w:t>ragina Komisiją ir valstybes nares būsimame ES vaikų apsaugos nuo nusikaltimų veiksmų plane aiškiai pripažinti, kad organizuotų nusikalstamų grupių ir teroristinių grupių vykdomo vaikų verbavimo prevencija ir reagavimas į jį yra prioritetinė sritis; ragina į šį veiksmų planą įtraukti specialų prevencijos ramstį su išankstinio perspėjimo mechanizmais, apimantį mokyklas, socialines tarnybas ir šeimas, ir į jaunimą orientuotą požiūrį, kuriuo daugiausia dėmesio būtų skiriama gyvenimo įgūdžių ugdymui tiesiogiai įsitraukiant bendruomenei;</w:t>
      </w:r>
    </w:p>
    <w:p w:rsidR="002B17BA" w:rsidRPr="00AF26B1" w:rsidP="002B17BA" w14:paraId="7C579EB6" w14:textId="77777777">
      <w:pPr>
        <w:pStyle w:val="NormalHanging12a"/>
        <w:rPr>
          <w:spacing w:val="-2"/>
        </w:rPr>
      </w:pPr>
      <w:r w:rsidRPr="00AF26B1">
        <w:t>5.</w:t>
      </w:r>
      <w:r w:rsidRPr="00AF26B1">
        <w:tab/>
        <w:t>ragina Komisiją spręsti organizuotų nusikalstamų grupių vykdomo vaikų verbavimo klausimą, be kita ko, būsimame pasiūlyme dėl teisėkūros procedūra priimamo akto dėl modernizuotų kovos su organizuotu nusikalstamumu taisyklių; ragina Komisiją apsvarstyti galimybę į šį pasiūlymą įtraukti konkrečias nuostatas, pvz., dėl sunkinančių aplinkybių vaikų verbavimo atveju; atsižvelgdamas į tai, pakartoja savo raginimą nustatyti naują bendrą termino „organizuota nusikalstama grupė“ apibrėžtį, kuria taip pat būtų atsižvelgiama į nusikalstamų grupių naudojamą smurtą, korupciją ar bauginimą;</w:t>
      </w:r>
    </w:p>
    <w:p w:rsidR="002B17BA" w:rsidRPr="00AF26B1" w:rsidP="002B17BA" w14:paraId="48709E62" w14:textId="77777777">
      <w:pPr>
        <w:pStyle w:val="NormalHanging12a"/>
        <w:rPr>
          <w:spacing w:val="-2"/>
        </w:rPr>
      </w:pPr>
      <w:r w:rsidRPr="00AF26B1">
        <w:t>6.</w:t>
      </w:r>
      <w:r w:rsidRPr="00AF26B1">
        <w:tab/>
        <w:t xml:space="preserve">ragina Komisiją kuo greičiau paskelbti pasiūlymą dėl teisėkūros procedūra priimamo </w:t>
      </w:r>
      <w:r w:rsidRPr="00AF26B1">
        <w:t>akto dėl ES pirotechnikos direktyvos</w:t>
      </w:r>
      <w:r>
        <w:rPr>
          <w:rStyle w:val="FootnoteReference"/>
        </w:rPr>
        <w:footnoteReference w:id="7"/>
      </w:r>
      <w:r w:rsidRPr="00AF26B1">
        <w:t xml:space="preserve"> peržiūros, kad būtų sprendžiamas pirotechnikos kaip ginklo naudojimo klausimas, įskaitant pažeidžiamų jaunuolių išnaudojimą; ragina valstybes nares intensyviau bendradarbiauti su Europolu ir Eurojustu, visų pirma uostuose, logistikos centruose ir miestų teritorijose, kuriose yra pažeidžiamų bendruomenių, ir dalytis geriausios praktikos pavyzdžiais bei rengti mokymus įtartinos veiklos, į kurią įtraukiami vaikai, ir pranešimo apie ją klausimais;</w:t>
      </w:r>
    </w:p>
    <w:p w:rsidR="002B17BA" w:rsidRPr="00AF26B1" w:rsidP="002B17BA" w14:paraId="2378EF98" w14:textId="77777777">
      <w:pPr>
        <w:pStyle w:val="NormalHanging12a"/>
        <w:rPr>
          <w:spacing w:val="-2"/>
        </w:rPr>
      </w:pPr>
      <w:r w:rsidRPr="00AF26B1">
        <w:t>7.</w:t>
      </w:r>
      <w:r w:rsidRPr="00AF26B1">
        <w:tab/>
        <w:t>ragina Komisiją ir valstybes nares pripažinti, kad su narkotikais susijęs bauginimas yra nusistovėjęs verbavimo įsitraukti į organizuotą nusikalstamą veiklą būdas; ragina valstybes nares užtikrinti, kad į nacionalines strategijas, kuriomis sprendžiama vaikų verbavimo problema, būtų aiškiai įtrauktas tarpžinybinis atsakas į su narkotikais susijusį bauginimą, remiantis naujais geriausios praktikos modeliais;</w:t>
      </w:r>
    </w:p>
    <w:p w:rsidR="002B17BA" w:rsidRPr="00AF26B1" w:rsidP="002B17BA" w14:paraId="718C5376" w14:textId="77777777">
      <w:pPr>
        <w:pStyle w:val="NormalHanging12a"/>
        <w:rPr>
          <w:bCs/>
          <w:spacing w:val="-2"/>
        </w:rPr>
      </w:pPr>
      <w:r w:rsidRPr="00AF26B1">
        <w:t>8.</w:t>
      </w:r>
      <w:r w:rsidRPr="00AF26B1">
        <w:tab/>
        <w:t>primygtinai ragina taikyti principą „pirmiausia – prevencija“ ir integruotas apsaugos sistemas, kurios būtų orientuotos į vaikus bei lyčių lygybę, grindžiamos traumos suvokimu ir tarpsektorinės, daugiausia dėmesio skiriant ankstyvam rizikos grupei priklausančių vaikų nustatymui, bendruomeninėms intervencijoms ir šeimų bei socialinių paslaugų stiprinimui; pabrėžia teigiamą sporto, švietimo asociacijų ir bendruomenių organizacijų vaidmenį užtikrinant saugią, sveiką ir įtraukią aplinką;</w:t>
      </w:r>
    </w:p>
    <w:p w:rsidR="002B17BA" w:rsidRPr="00AF26B1" w:rsidP="002B17BA" w14:paraId="2F6ACD61" w14:textId="77777777">
      <w:pPr>
        <w:pStyle w:val="NormalHanging12a"/>
      </w:pPr>
      <w:r w:rsidRPr="00AF26B1">
        <w:t>9.</w:t>
      </w:r>
      <w:r w:rsidRPr="00AF26B1">
        <w:tab/>
        <w:t>mano, kad dėl tarpvalstybinio organizuoto nusikalstamumo pobūdžio vien nacionalinės nukentėjusiųjų apsaugos priemonės yra netinkamos vaikams ir jaunuoliams; ragina stiprinti saugumo, teisingumo, vaikų apsaugos, švietimo ir sveikatos sektorių bendradarbiavimą, taip pat viešojo ir privačiojo sektorių partnerystes, kad būtų užtikrintos integruotos ir tarpsektorinės vaikams saugią aplinką užtikrinančios sistemos tiek realiame gyvenime, tiek internete;</w:t>
      </w:r>
    </w:p>
    <w:p w:rsidR="002B17BA" w:rsidRPr="00AF26B1" w:rsidP="002B17BA" w14:paraId="2F55D14A" w14:textId="77777777">
      <w:pPr>
        <w:pStyle w:val="NormalHanging12a"/>
        <w:rPr>
          <w:spacing w:val="-2"/>
        </w:rPr>
      </w:pPr>
      <w:r w:rsidRPr="00AF26B1">
        <w:t>10.</w:t>
      </w:r>
      <w:r w:rsidRPr="00AF26B1">
        <w:tab/>
        <w:t>pabrėžia, kad organizuotų nusikalstamų grupių ir teroristinių grupių veiklos modeliams dabar yra labai svarbus internetinis vaikų verbavimo aspektas, nes šios grupės sistemingai naudojasi skaitmeninėmis paslaugomis, kad identifikuotų vaikus, jų atžvilgiu imtųsi tikslinių veiksmų, juos viliotų, jais manipuliuotų ir prieš juos naudotų prievartą; pabrėžia, jog dėl to, kad organizuotų nusikaltėlių tinklai vaikų verbavimą vykdo internete, atsiranda didelė vykdymo užtikrinimo spraga, nes platformos nepakankamai bendradarbiauja; ragina Komisiją ir valstybes užtikrinti, kad būtų sugriežtintos dabartinės platformų pareigos;</w:t>
      </w:r>
    </w:p>
    <w:p w:rsidR="002B17BA" w:rsidRPr="00AF26B1" w:rsidP="002B17BA" w14:paraId="0A4ACF90" w14:textId="77777777">
      <w:pPr>
        <w:pStyle w:val="NormalHanging12a"/>
      </w:pPr>
      <w:r w:rsidRPr="00AF26B1">
        <w:rPr>
          <w:snapToGrid w:val="0"/>
        </w:rPr>
        <w:t>11.</w:t>
      </w:r>
      <w:r w:rsidRPr="00AF26B1">
        <w:rPr>
          <w:snapToGrid w:val="0"/>
        </w:rPr>
        <w:tab/>
      </w:r>
      <w:r w:rsidRPr="00AF26B1">
        <w:t>ragina Komisiją ir valstybes nares užtikrinti patikimą, nuoseklų ir vaiko teises atitinkantį Skaitmeninių paslaugų akto vykdymo užtikrinimą, laikantis Komisijos gairių dėl nepilnamečių apsaugos;</w:t>
      </w:r>
    </w:p>
    <w:p w:rsidR="002B17BA" w:rsidRPr="00AF26B1" w:rsidP="002B17BA" w14:paraId="73098C52" w14:textId="77777777">
      <w:pPr>
        <w:pStyle w:val="NormalHanging12a"/>
      </w:pPr>
      <w:bookmarkStart w:id="8" w:name="_Hlk231893097"/>
      <w:r w:rsidRPr="00AF26B1">
        <w:rPr>
          <w:snapToGrid w:val="0"/>
        </w:rPr>
        <w:t>12.</w:t>
      </w:r>
      <w:r w:rsidRPr="00AF26B1">
        <w:rPr>
          <w:snapToGrid w:val="0"/>
        </w:rPr>
        <w:tab/>
      </w:r>
      <w:r w:rsidRPr="00AF26B1">
        <w:t xml:space="preserve">ragina Komisiją užtikrinti visapusišką ES skaitmeninės srities teisės aktų vykdymą ir prireikus sugriežtinti platformų pareigas imtis veiksmų prieš vaikų išnaudojimą ir verbavimą, taip pat stiprinti nepilnamečių apsaugą internete pasitelkiant būsimą Skaitmeninio sąžiningumo aktą, šalinant reglamentavimo spragas tokiose srityse kaip pritaikytoji sauga, pagal amžių tinkami išankstiniai nustatymai ir tikslinė vaikams skirta komercinė praktika, kartu užtikrinant, kad naujos priemonės išliktų proporcingos, pagrįstos įrodymais ir derėtų su platesne skaitmeninio sektoriaus reglamentavimo </w:t>
      </w:r>
      <w:r w:rsidRPr="00AF26B1">
        <w:t>sistema;</w:t>
      </w:r>
      <w:bookmarkEnd w:id="8"/>
    </w:p>
    <w:p w:rsidR="002B17BA" w:rsidRPr="00AF26B1" w:rsidP="002B17BA" w14:paraId="50590ACB" w14:textId="77777777">
      <w:pPr>
        <w:pStyle w:val="NormalHanging12a"/>
      </w:pPr>
      <w:r w:rsidRPr="00AF26B1">
        <w:rPr>
          <w:snapToGrid w:val="0"/>
        </w:rPr>
        <w:t>13.</w:t>
      </w:r>
      <w:r w:rsidRPr="00AF26B1">
        <w:rPr>
          <w:snapToGrid w:val="0"/>
        </w:rPr>
        <w:tab/>
      </w:r>
      <w:r w:rsidRPr="00AF26B1">
        <w:t>pabrėžia didėjančią nusikaltimo kaip paslaugos, įskaitant smurtą kaip paslaugą, kurią pasitelkiant jaunimas verbuojamas internete smurtinėms užduotims vykdyti, grėsmę; palankiai vertina Europolo operatyvinę darbo grupę GRIMM ir ragina valstybes nares, Europolą ir Eurojustą ne tik imtis teisėsaugos veiksmų nusikaltimus padariusių nepilnamečių atžvilgiu, bet stiprinti bendrus tyrimus siekiant nustatyti verbuotojus, kurstytojus ir aukšto lygio veikėjus;</w:t>
      </w:r>
    </w:p>
    <w:p w:rsidR="002B17BA" w:rsidP="002B17BA" w14:paraId="02FFE1E5" w14:textId="7A9388A7">
      <w:pPr>
        <w:pStyle w:val="NormalHanging12a"/>
      </w:pPr>
      <w:r w:rsidRPr="00AF26B1">
        <w:rPr>
          <w:snapToGrid w:val="0"/>
        </w:rPr>
        <w:t>14.</w:t>
      </w:r>
      <w:r w:rsidRPr="00AF26B1">
        <w:rPr>
          <w:snapToGrid w:val="0"/>
        </w:rPr>
        <w:tab/>
      </w:r>
      <w:r w:rsidRPr="00AF26B1">
        <w:t>pabrėžia, kad</w:t>
      </w:r>
      <w:r w:rsidR="002F6935">
        <w:t xml:space="preserve"> su</w:t>
      </w:r>
      <w:r w:rsidRPr="00AF26B1">
        <w:t xml:space="preserve"> vaikai</w:t>
      </w:r>
      <w:r w:rsidR="002F6935">
        <w:t>s</w:t>
      </w:r>
      <w:r w:rsidRPr="00AF26B1">
        <w:t xml:space="preserve">, kurie užverbuoti įsitraukė į nusikalstamą veiklą, </w:t>
      </w:r>
      <w:r w:rsidR="002F6935">
        <w:t xml:space="preserve">turi būti elgiamasi </w:t>
      </w:r>
      <w:r w:rsidRPr="00AF26B1">
        <w:t>laikantis tarptautinių standartų; primena, kad bendradarbiavimą su smurtinėmis grupėmis dažnai skatina laipsniškai vykdoma prievarta ir grupių dinamika, o ne prisijungimas dėl ideologinių priežasčių;</w:t>
      </w:r>
    </w:p>
    <w:p w:rsidR="00B97C57" w:rsidRPr="002F6935" w:rsidP="002B17BA" w14:paraId="3EA7C92E" w14:textId="3CCFF034">
      <w:pPr>
        <w:pStyle w:val="NormalHanging12a"/>
        <w:rPr>
          <w:bCs/>
          <w:iCs/>
        </w:rPr>
      </w:pPr>
      <w:r>
        <w:rPr>
          <w:bCs/>
          <w:iCs/>
        </w:rPr>
        <w:t>15</w:t>
      </w:r>
      <w:r w:rsidRPr="003E522E">
        <w:rPr>
          <w:bCs/>
          <w:iCs/>
        </w:rPr>
        <w:t>.</w:t>
      </w:r>
      <w:r w:rsidRPr="003E522E">
        <w:rPr>
          <w:bCs/>
          <w:iCs/>
        </w:rPr>
        <w:tab/>
      </w:r>
      <w:r w:rsidRPr="002F6935">
        <w:rPr>
          <w:bCs/>
          <w:iCs/>
        </w:rPr>
        <w:t>pabrėžia, kad visada turi būti tinkamai atsižvelgiama į individualias kiekvieno atvejo, įskaitant prievartos ar išnaudojimo atvejus, aplinkybes, taip pat į padarytos nusikalstamos veikos sunkumą, nusikalstamos veikos vykdytojo keliamos rizikos visuomenės saugumui lygį ir taikytiną ES bei nacionalinę teisę;</w:t>
      </w:r>
    </w:p>
    <w:p w:rsidR="002B17BA" w:rsidRPr="00AF26B1" w:rsidP="002B17BA" w14:paraId="2D89C0FF" w14:textId="7EB24483">
      <w:pPr>
        <w:pStyle w:val="NormalHanging12a"/>
      </w:pPr>
      <w:r>
        <w:rPr>
          <w:snapToGrid w:val="0"/>
        </w:rPr>
        <w:t>16</w:t>
      </w:r>
      <w:r w:rsidRPr="00AF26B1">
        <w:rPr>
          <w:snapToGrid w:val="0"/>
        </w:rPr>
        <w:t>.</w:t>
      </w:r>
      <w:r w:rsidRPr="00AF26B1">
        <w:rPr>
          <w:snapToGrid w:val="0"/>
        </w:rPr>
        <w:tab/>
      </w:r>
      <w:r w:rsidRPr="00AF26B1">
        <w:t xml:space="preserve">ragina sukurti vaiko interesus atitinkančias, lyčiai atžvalgias bei traumos suvokimu pagrįstas teisingumo sistemas ir pritaikytas tarpsektorines, traumos suvokimu pagrįstas reintegracijos programas, įskaitant galimybę gauti išsilavinimą, psichikos sveikatos ir psichosocialinę paramą ir atsigavimo bei reabilitacijos paslaugas, apsaugą nuo atsakomųjų veiksmų, be kita ko, šeimoms, būdus gauti deramą darbą ir priemones, kuriomis būtų užkirstas kelias </w:t>
      </w:r>
      <w:r w:rsidRPr="00AF26B1">
        <w:t>stigmatizacijai</w:t>
      </w:r>
      <w:r w:rsidRPr="00AF26B1">
        <w:t xml:space="preserve"> ir pakartotiniam užverbavimui; primena, kad pagal Direktyvą (ES) 2016/800 vaiko laisvės atėmimas, visų pirma sulaikymas, turėtų būti taikomas tik kaip kraštutinė priemonė ir, kai įmanoma, valstybių narių kompetentingos institucijos turėtų taikyti alternatyvias priemones; pažymi, kad kai kuriose valstybėse narėse atkuriamasis teisingumas pasirodė esąs veiksmingas;</w:t>
      </w:r>
    </w:p>
    <w:p w:rsidR="002B17BA" w:rsidRPr="00AF26B1" w:rsidP="002B17BA" w14:paraId="18BDAFF6" w14:textId="17FB5040">
      <w:pPr>
        <w:pStyle w:val="NormalHanging12a"/>
      </w:pPr>
      <w:r>
        <w:rPr>
          <w:snapToGrid w:val="0"/>
        </w:rPr>
        <w:t>17</w:t>
      </w:r>
      <w:r w:rsidRPr="00AF26B1">
        <w:rPr>
          <w:snapToGrid w:val="0"/>
        </w:rPr>
        <w:t>.</w:t>
      </w:r>
      <w:r w:rsidRPr="00AF26B1">
        <w:rPr>
          <w:snapToGrid w:val="0"/>
        </w:rPr>
        <w:tab/>
      </w:r>
      <w:r w:rsidRPr="00AF26B1">
        <w:t>primygtinai ragina valstybes nares gerinti sąveikų, tarpsektorinį duomenų apie vaikų verbavimą į organizuotas nusikalstamas grupes ir teroristines grupes rinkimą ir dalijimąsi jais, įskaitant suskirstytus ir suderintus ES masto duomenis, kad būtų galima geriau suprasti tendencijas ir rizikos veiksnius; pabrėžia, kad bet koks duomenų apie vaikus rinkimas, tvarkymas ar dalijimasis jais turi visiškai atitikti duomenų apsaugos taisykles ir nediskriminavimo principą;</w:t>
      </w:r>
    </w:p>
    <w:p w:rsidR="002B17BA" w:rsidRPr="00AF26B1" w:rsidP="002B17BA" w14:paraId="4014391F" w14:textId="1F426811">
      <w:pPr>
        <w:pStyle w:val="NormalHanging12a"/>
      </w:pPr>
      <w:r>
        <w:rPr>
          <w:snapToGrid w:val="0"/>
        </w:rPr>
        <w:t>18</w:t>
      </w:r>
      <w:r w:rsidRPr="00AF26B1">
        <w:rPr>
          <w:snapToGrid w:val="0"/>
        </w:rPr>
        <w:t>.</w:t>
      </w:r>
      <w:r w:rsidRPr="00AF26B1">
        <w:rPr>
          <w:snapToGrid w:val="0"/>
        </w:rPr>
        <w:tab/>
      </w:r>
      <w:r w:rsidRPr="00AF26B1">
        <w:t xml:space="preserve">remia platesnį sėkmingų įrodymais grindžiamų iniciatyvų, pvz., ES ir UNODC programos „STRIVE </w:t>
      </w:r>
      <w:r w:rsidRPr="00AF26B1">
        <w:t>Juvenile</w:t>
      </w:r>
      <w:r w:rsidRPr="00AF26B1">
        <w:t>“ projekto ir jį pakeisiančios strateginės ES ir UNODC iniciatyvos „</w:t>
      </w:r>
      <w:r w:rsidRPr="00AF26B1">
        <w:t>Protecting</w:t>
      </w:r>
      <w:r w:rsidRPr="00AF26B1">
        <w:t xml:space="preserve"> </w:t>
      </w:r>
      <w:r w:rsidRPr="00AF26B1">
        <w:t>Futures</w:t>
      </w:r>
      <w:r w:rsidRPr="00AF26B1">
        <w:t>“, įgyvendinimą, be kita ko, nestabiliomis ir konfliktų veikiamomis aplinkybėmis;</w:t>
      </w:r>
    </w:p>
    <w:p w:rsidR="002B17BA" w:rsidRPr="00AF26B1" w:rsidP="002B17BA" w14:paraId="62E04269" w14:textId="519F0C39">
      <w:pPr>
        <w:pStyle w:val="NormalHanging12a"/>
      </w:pPr>
      <w:r>
        <w:rPr>
          <w:snapToGrid w:val="0"/>
        </w:rPr>
        <w:t>19</w:t>
      </w:r>
      <w:r w:rsidRPr="00AF26B1">
        <w:rPr>
          <w:snapToGrid w:val="0"/>
        </w:rPr>
        <w:t>.</w:t>
      </w:r>
      <w:r w:rsidRPr="00AF26B1">
        <w:rPr>
          <w:snapToGrid w:val="0"/>
        </w:rPr>
        <w:tab/>
      </w:r>
      <w:r w:rsidRPr="00AF26B1">
        <w:t xml:space="preserve">ragina stiprinti tarptautinį bendradarbiavimą su šalimis partnerėmis siekiant spręsti tarpvalstybinių verbavimo tinklų problemą ir užkirsti kelią nusikalstamo išnaudojimo </w:t>
      </w:r>
      <w:r w:rsidRPr="00AF26B1">
        <w:t>eksternalizacijai</w:t>
      </w:r>
      <w:r w:rsidRPr="00AF26B1">
        <w:t>;</w:t>
      </w:r>
    </w:p>
    <w:p w:rsidR="002B17BA" w:rsidRPr="00AF26B1" w:rsidP="002B17BA" w14:paraId="5060A26A" w14:textId="5DA4BB73">
      <w:pPr>
        <w:pStyle w:val="NormalHanging12a"/>
      </w:pPr>
      <w:r>
        <w:rPr>
          <w:snapToGrid w:val="0"/>
        </w:rPr>
        <w:t>20</w:t>
      </w:r>
      <w:r w:rsidRPr="00AF26B1">
        <w:rPr>
          <w:snapToGrid w:val="0"/>
        </w:rPr>
        <w:t>.</w:t>
      </w:r>
      <w:r w:rsidRPr="00AF26B1">
        <w:rPr>
          <w:snapToGrid w:val="0"/>
        </w:rPr>
        <w:tab/>
      </w:r>
      <w:r w:rsidRPr="00AF26B1">
        <w:t xml:space="preserve">pabrėžia, kad vykdant tokį bendradarbiavimą ypatingas dėmesys turi būti skiriamas </w:t>
      </w:r>
      <w:r w:rsidRPr="00AF26B1">
        <w:t>pažeidžiamesnėje</w:t>
      </w:r>
      <w:r w:rsidRPr="00AF26B1">
        <w:t xml:space="preserve"> padėtyje esantiems vaikams, įskaitant nelydimus vaikus ir vaikus migrantus, ir turi būti užtikrinta galimybė naudotis saugiais pranešimų teikimo kanalais, gauti globą, teisinę pagalbą ir pasinaudoti teisėmis grindžiamais tarpvalstybiniais vaikų apsaugos mechanizmais;</w:t>
      </w:r>
    </w:p>
    <w:p w:rsidR="002B17BA" w:rsidRPr="00AF26B1" w:rsidP="002B17BA" w14:paraId="2643A868" w14:textId="13B81554">
      <w:pPr>
        <w:pStyle w:val="NormalHanging12a"/>
      </w:pPr>
      <w:r>
        <w:rPr>
          <w:snapToGrid w:val="0"/>
        </w:rPr>
        <w:t>21</w:t>
      </w:r>
      <w:r w:rsidRPr="00AF26B1">
        <w:rPr>
          <w:snapToGrid w:val="0"/>
        </w:rPr>
        <w:t>.</w:t>
      </w:r>
      <w:r w:rsidRPr="00AF26B1">
        <w:rPr>
          <w:snapToGrid w:val="0"/>
        </w:rPr>
        <w:tab/>
      </w:r>
      <w:r w:rsidRPr="00AF26B1">
        <w:t>pabrėžia, kad svarbu šalinti pagrindines priežastis, įskaitant skurdą, nelygybę, atskirtį, išsilavinimo trūkumą, smurto riziką ir nepakankamas investicijas į viešąsias paslaugas; ragina Komisiją ir valstybes nares didinti finansinę paramą pilietinės visuomenės organizacijoms, bendruomeninėms iniciatyvoms, sporto asociacijoms ir švietimo programoms tose vietovėse, kuriose kyla didžiausia organizuotų nusikalstamų grupių vykdomo verbavimo rizika, užtikrinant galimybes vietoj nusikalstamo kelio pasirinkti patikimas alternatyvas;</w:t>
      </w:r>
    </w:p>
    <w:p w:rsidR="002B17BA" w:rsidRPr="00AF26B1" w:rsidP="002B17BA" w14:paraId="0CA066D7" w14:textId="1816F63C">
      <w:pPr>
        <w:pStyle w:val="NormalHanging12a"/>
      </w:pPr>
      <w:r>
        <w:rPr>
          <w:snapToGrid w:val="0"/>
        </w:rPr>
        <w:t>22</w:t>
      </w:r>
      <w:r w:rsidRPr="00AF26B1">
        <w:rPr>
          <w:snapToGrid w:val="0"/>
        </w:rPr>
        <w:t>.</w:t>
      </w:r>
      <w:r w:rsidRPr="00AF26B1">
        <w:rPr>
          <w:snapToGrid w:val="0"/>
        </w:rPr>
        <w:tab/>
      </w:r>
      <w:r w:rsidRPr="00AF26B1">
        <w:t xml:space="preserve">yra ypač susirūpinęs dėl to, kad organizuoti nusikaltėlių tinklai neproporcingai taikosi į mergaites ir jaunas moteris ir jas išnaudoja, be kita ko, viliodami, prekiaudami jomis ir seksualiai jas išnaudodami; pabrėžia, kad mergaitės susiduria su konkrečiomis kliūtimis, trukdančiomis išvengti nusikalstamos prievartos ir kreiptis į teismą, atsigauti ir </w:t>
      </w:r>
      <w:r w:rsidRPr="00AF26B1">
        <w:t>reintegruotis</w:t>
      </w:r>
      <w:r w:rsidRPr="00AF26B1">
        <w:t>, ir ragina valstybes nares užtikrinti, kad visos prevencijos, apsaugos ir paramos priemonės būtų orientuotos į lyčių aspektą ir jomis būtų konkrečiai atsižvelgiama į mergaičių pažeidžiamumą ir poreikius; atsižvelgdamas į tai, primena Kovos su prekyba žmonėmis direktyvoje</w:t>
      </w:r>
      <w:r>
        <w:rPr>
          <w:rStyle w:val="FootnoteReference"/>
        </w:rPr>
        <w:footnoteReference w:id="8"/>
      </w:r>
      <w:r w:rsidRPr="00AF26B1">
        <w:t xml:space="preserve"> nustatytas pareigas;</w:t>
      </w:r>
    </w:p>
    <w:p w:rsidR="002B17BA" w:rsidRPr="00AF26B1" w:rsidP="002B17BA" w14:paraId="0095FD68" w14:textId="7458D8F5">
      <w:pPr>
        <w:pStyle w:val="NormalHanging12a"/>
      </w:pPr>
      <w:r>
        <w:rPr>
          <w:snapToGrid w:val="0"/>
        </w:rPr>
        <w:t>23</w:t>
      </w:r>
      <w:r w:rsidRPr="00AF26B1">
        <w:rPr>
          <w:snapToGrid w:val="0"/>
        </w:rPr>
        <w:t>.</w:t>
      </w:r>
      <w:r w:rsidRPr="00AF26B1">
        <w:rPr>
          <w:snapToGrid w:val="0"/>
        </w:rPr>
        <w:tab/>
      </w:r>
      <w:r w:rsidRPr="00AF26B1">
        <w:t>ragina Komisiją ir valstybes nares skirti tinkamą finansavimą pagal atitinkamas ES programas, siekiant užkirsti kelią organizuotų nusikalstamų grupių ir teroristinių grupių vykdomam vaikų verbavimui ir veiksmingai į jį reaguoti, visų pirma remti karštosios informavimo apie dingusius vaikus telefono linijos 116 000 tinklą, kaip vieną iš pagrindinių tarpžinybinių partnerių identifikuojant vaikus, kuriems gresia pavojus;</w:t>
      </w:r>
    </w:p>
    <w:p w:rsidR="00E365E1" w:rsidRPr="00AF26B1" w:rsidP="00E355CE" w14:paraId="6D56B024" w14:textId="0F882D56">
      <w:pPr>
        <w:pStyle w:val="NormalHanging12a"/>
      </w:pPr>
      <w:r>
        <w:rPr>
          <w:snapToGrid w:val="0"/>
        </w:rPr>
        <w:t>24</w:t>
      </w:r>
      <w:r w:rsidRPr="00AF26B1" w:rsidR="002B17BA">
        <w:rPr>
          <w:snapToGrid w:val="0"/>
        </w:rPr>
        <w:t>.</w:t>
      </w:r>
      <w:r w:rsidRPr="00AF26B1" w:rsidR="002B17BA">
        <w:rPr>
          <w:snapToGrid w:val="0"/>
        </w:rPr>
        <w:tab/>
      </w:r>
      <w:r w:rsidRPr="00AF26B1" w:rsidR="002B17BA">
        <w:t>paveda Pirmininkei perduoti šią rezoliuciją Tarybai, Komisijai, valstybių narių vyriausybėms ir parlamentams ir Jungtinių Tautų narkotikų kontrolės ir nusikalstamumo prevencijos biurui.</w:t>
      </w:r>
    </w:p>
    <w:sectPr w:rsidSect="00AF26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B5603" w:rsidRPr="00AF26B1" w14:paraId="0DD250D2" w14:textId="77777777">
      <w:r w:rsidRPr="00AF26B1">
        <w:separator/>
      </w:r>
    </w:p>
  </w:footnote>
  <w:footnote w:type="continuationSeparator" w:id="1">
    <w:p w:rsidR="009B5603" w:rsidRPr="00AF26B1" w14:paraId="573BC636" w14:textId="77777777">
      <w:r w:rsidRPr="00AF26B1">
        <w:continuationSeparator/>
      </w:r>
    </w:p>
  </w:footnote>
  <w:footnote w:id="2">
    <w:p w:rsidR="002B17BA" w:rsidRPr="00AF26B1" w:rsidP="00AF26B1" w14:paraId="0F5B425B" w14:textId="529D410D">
      <w:pPr>
        <w:pStyle w:val="FootnoteText"/>
        <w:ind w:left="567" w:hanging="567"/>
        <w:rPr>
          <w:sz w:val="24"/>
          <w:lang w:val="lt-LT"/>
        </w:rPr>
      </w:pPr>
      <w:r w:rsidRPr="00AF26B1">
        <w:rPr>
          <w:rStyle w:val="FootnoteReference"/>
          <w:sz w:val="24"/>
          <w:lang w:val="lt-LT"/>
        </w:rPr>
        <w:footnoteRef/>
      </w:r>
      <w:r w:rsidRPr="00AF26B1" w:rsidR="00AF26B1">
        <w:rPr>
          <w:sz w:val="24"/>
          <w:lang w:val="lt-LT"/>
        </w:rPr>
        <w:t xml:space="preserve"> </w:t>
      </w:r>
      <w:r w:rsidRPr="00AF26B1" w:rsidR="00AF26B1">
        <w:rPr>
          <w:sz w:val="24"/>
          <w:lang w:val="lt-LT"/>
        </w:rPr>
        <w:tab/>
      </w:r>
      <w:r w:rsidRPr="00AF26B1">
        <w:rPr>
          <w:sz w:val="24"/>
          <w:lang w:val="lt-LT"/>
        </w:rPr>
        <w:t xml:space="preserve">OL L 277, 2022 10 27, p. 1, ELI: </w:t>
      </w:r>
      <w:hyperlink r:id="rId1" w:history="1">
        <w:r w:rsidRPr="00AF26B1">
          <w:rPr>
            <w:rStyle w:val="Hyperlink"/>
            <w:sz w:val="24"/>
            <w:lang w:val="lt-LT"/>
          </w:rPr>
          <w:t>http://data.europa.eu/eli/reg/2022/2065/oj</w:t>
        </w:r>
      </w:hyperlink>
      <w:r w:rsidRPr="00AF26B1">
        <w:rPr>
          <w:sz w:val="24"/>
          <w:lang w:val="lt-LT"/>
        </w:rPr>
        <w:t>.</w:t>
      </w:r>
    </w:p>
  </w:footnote>
  <w:footnote w:id="3">
    <w:p w:rsidR="002B17BA" w:rsidRPr="00AF26B1" w:rsidP="00AF26B1" w14:paraId="3B0D66DD" w14:textId="1961B26A">
      <w:pPr>
        <w:pStyle w:val="FootnoteText"/>
        <w:ind w:left="567" w:hanging="567"/>
        <w:rPr>
          <w:sz w:val="24"/>
          <w:lang w:val="lt-LT"/>
        </w:rPr>
      </w:pPr>
      <w:r w:rsidRPr="00AF26B1">
        <w:rPr>
          <w:rStyle w:val="FootnoteReference"/>
          <w:sz w:val="24"/>
          <w:szCs w:val="16"/>
          <w:lang w:val="lt-LT"/>
        </w:rPr>
        <w:footnoteRef/>
      </w:r>
      <w:r w:rsidRPr="00AF26B1" w:rsidR="00AF26B1">
        <w:rPr>
          <w:sz w:val="24"/>
          <w:lang w:val="lt-LT"/>
        </w:rPr>
        <w:t xml:space="preserve"> </w:t>
      </w:r>
      <w:r w:rsidRPr="00AF26B1" w:rsidR="00AF26B1">
        <w:rPr>
          <w:sz w:val="24"/>
          <w:lang w:val="lt-LT"/>
        </w:rPr>
        <w:tab/>
      </w:r>
      <w:r w:rsidRPr="00AF26B1">
        <w:rPr>
          <w:sz w:val="24"/>
          <w:lang w:val="lt-LT"/>
        </w:rPr>
        <w:t xml:space="preserve">OL C, C/2025/5519, 2025 10 10, ELI: </w:t>
      </w:r>
      <w:hyperlink r:id="rId2" w:history="1">
        <w:r w:rsidRPr="00AF26B1">
          <w:rPr>
            <w:rStyle w:val="Hyperlink"/>
            <w:sz w:val="24"/>
            <w:lang w:val="lt-LT"/>
          </w:rPr>
          <w:t>http://data.europa.eu/eli/C/2025/5519/oj</w:t>
        </w:r>
      </w:hyperlink>
      <w:r w:rsidRPr="00AF26B1">
        <w:rPr>
          <w:sz w:val="24"/>
          <w:lang w:val="lt-LT"/>
        </w:rPr>
        <w:t xml:space="preserve">. </w:t>
      </w:r>
    </w:p>
  </w:footnote>
  <w:footnote w:id="4">
    <w:p w:rsidR="002B17BA" w:rsidRPr="00AF26B1" w:rsidP="00AF26B1" w14:paraId="0C3002E8" w14:textId="122451F1">
      <w:pPr>
        <w:pStyle w:val="FootnoteText"/>
        <w:ind w:left="567" w:hanging="567"/>
        <w:rPr>
          <w:sz w:val="24"/>
          <w:lang w:val="lt-LT"/>
        </w:rPr>
      </w:pPr>
      <w:r w:rsidRPr="00AF26B1">
        <w:rPr>
          <w:rStyle w:val="FootnoteReference"/>
          <w:sz w:val="24"/>
          <w:lang w:val="lt-LT"/>
        </w:rPr>
        <w:footnoteRef/>
      </w:r>
      <w:r w:rsidRPr="00AF26B1" w:rsidR="00AF26B1">
        <w:rPr>
          <w:sz w:val="24"/>
          <w:lang w:val="lt-LT"/>
        </w:rPr>
        <w:t xml:space="preserve"> </w:t>
      </w:r>
      <w:r w:rsidRPr="00AF26B1" w:rsidR="00AF26B1">
        <w:rPr>
          <w:sz w:val="24"/>
          <w:lang w:val="lt-LT"/>
        </w:rPr>
        <w:tab/>
      </w:r>
      <w:r w:rsidRPr="00AF26B1">
        <w:rPr>
          <w:sz w:val="24"/>
          <w:lang w:val="lt-LT"/>
        </w:rPr>
        <w:t>Priimti tekstai, P10_TA(2026)0007.</w:t>
      </w:r>
    </w:p>
  </w:footnote>
  <w:footnote w:id="5">
    <w:p w:rsidR="002B17BA" w:rsidRPr="00AF26B1" w:rsidP="00AF26B1" w14:paraId="28EC30DC" w14:textId="5FB3168B">
      <w:pPr>
        <w:pStyle w:val="FootnoteText"/>
        <w:ind w:left="567" w:hanging="567"/>
        <w:rPr>
          <w:sz w:val="24"/>
          <w:lang w:val="lt-LT"/>
        </w:rPr>
      </w:pPr>
      <w:r w:rsidRPr="00AF26B1">
        <w:rPr>
          <w:rStyle w:val="FootnoteReference"/>
          <w:sz w:val="24"/>
          <w:lang w:val="lt-LT"/>
        </w:rPr>
        <w:footnoteRef/>
      </w:r>
      <w:r w:rsidRPr="00AF26B1" w:rsidR="00AF26B1">
        <w:rPr>
          <w:sz w:val="24"/>
          <w:lang w:val="lt-LT"/>
        </w:rPr>
        <w:t xml:space="preserve"> </w:t>
      </w:r>
      <w:r w:rsidRPr="00AF26B1" w:rsidR="00AF26B1">
        <w:rPr>
          <w:sz w:val="24"/>
          <w:lang w:val="lt-LT"/>
        </w:rPr>
        <w:tab/>
      </w:r>
      <w:r w:rsidRPr="00AF26B1">
        <w:rPr>
          <w:sz w:val="24"/>
          <w:lang w:val="lt-LT"/>
        </w:rPr>
        <w:t>OL L 132, 2016 5 21</w:t>
      </w:r>
      <w:r w:rsidR="00274612">
        <w:rPr>
          <w:sz w:val="24"/>
          <w:lang w:val="lt-LT"/>
        </w:rPr>
        <w:t>,</w:t>
      </w:r>
      <w:r w:rsidRPr="00AF26B1">
        <w:rPr>
          <w:sz w:val="24"/>
          <w:lang w:val="lt-LT"/>
        </w:rPr>
        <w:t xml:space="preserve"> p. 1, ELI: </w:t>
      </w:r>
      <w:hyperlink r:id="rId3" w:history="1">
        <w:r w:rsidRPr="00AF26B1">
          <w:rPr>
            <w:rStyle w:val="Hyperlink"/>
            <w:sz w:val="24"/>
            <w:lang w:val="lt-LT"/>
          </w:rPr>
          <w:t>http://data.europa.eu/eli/dir/2016/800/oj</w:t>
        </w:r>
      </w:hyperlink>
      <w:r w:rsidRPr="00AF26B1">
        <w:rPr>
          <w:sz w:val="24"/>
          <w:lang w:val="lt-LT"/>
        </w:rPr>
        <w:t>.</w:t>
      </w:r>
    </w:p>
  </w:footnote>
  <w:footnote w:id="6">
    <w:p w:rsidR="002B17BA" w:rsidRPr="00AF26B1" w:rsidP="00AF26B1" w14:paraId="081B32B4" w14:textId="6DA79D9B">
      <w:pPr>
        <w:pStyle w:val="FootnoteText"/>
        <w:ind w:left="567" w:hanging="567"/>
        <w:rPr>
          <w:sz w:val="24"/>
          <w:lang w:val="lt-LT"/>
        </w:rPr>
      </w:pPr>
      <w:r w:rsidRPr="00AF26B1">
        <w:rPr>
          <w:rStyle w:val="FootnoteReference"/>
          <w:sz w:val="24"/>
          <w:lang w:val="lt-LT"/>
        </w:rPr>
        <w:footnoteRef/>
      </w:r>
      <w:r w:rsidRPr="00AF26B1" w:rsidR="00AF26B1">
        <w:rPr>
          <w:sz w:val="24"/>
          <w:lang w:val="lt-LT"/>
        </w:rPr>
        <w:t xml:space="preserve"> </w:t>
      </w:r>
      <w:r w:rsidRPr="00AF26B1" w:rsidR="00AF26B1">
        <w:rPr>
          <w:sz w:val="24"/>
          <w:lang w:val="lt-LT"/>
        </w:rPr>
        <w:tab/>
      </w:r>
      <w:r w:rsidRPr="00AF26B1">
        <w:rPr>
          <w:sz w:val="24"/>
          <w:lang w:val="lt-LT"/>
        </w:rPr>
        <w:t>2024 m. balandžio 4 d. Europolo ataskaita „</w:t>
      </w:r>
      <w:hyperlink r:id="rId4" w:tgtFrame="_blank" w:history="1">
        <w:r w:rsidRPr="00AF26B1">
          <w:rPr>
            <w:rStyle w:val="Hyperlink"/>
            <w:sz w:val="24"/>
            <w:lang w:val="lt-LT"/>
          </w:rPr>
          <w:t>ES didžiausią grėsmę keliančių nusikaltėlių tinklų iššifravimas</w:t>
        </w:r>
      </w:hyperlink>
      <w:r w:rsidRPr="00AF26B1">
        <w:rPr>
          <w:sz w:val="24"/>
          <w:lang w:val="lt-LT"/>
        </w:rPr>
        <w:t>“, atnaujinta 2026m. gegužės mėn.</w:t>
      </w:r>
    </w:p>
  </w:footnote>
  <w:footnote w:id="7">
    <w:p w:rsidR="002B17BA" w:rsidRPr="00AF26B1" w:rsidP="00AF26B1" w14:paraId="1674E182" w14:textId="50522264">
      <w:pPr>
        <w:pStyle w:val="FootnoteText"/>
        <w:ind w:left="567" w:hanging="567"/>
        <w:rPr>
          <w:sz w:val="24"/>
          <w:lang w:val="lt-LT"/>
        </w:rPr>
      </w:pPr>
      <w:r w:rsidRPr="00AF26B1">
        <w:rPr>
          <w:rStyle w:val="FootnoteReference"/>
          <w:sz w:val="24"/>
          <w:lang w:val="lt-LT"/>
        </w:rPr>
        <w:footnoteRef/>
      </w:r>
      <w:r w:rsidRPr="00AF26B1" w:rsidR="00AF26B1">
        <w:rPr>
          <w:sz w:val="24"/>
          <w:lang w:val="lt-LT"/>
        </w:rPr>
        <w:t xml:space="preserve"> </w:t>
      </w:r>
      <w:r w:rsidRPr="00AF26B1" w:rsidR="00AF26B1">
        <w:rPr>
          <w:sz w:val="24"/>
          <w:lang w:val="lt-LT"/>
        </w:rPr>
        <w:tab/>
      </w:r>
      <w:r w:rsidRPr="00AF26B1">
        <w:rPr>
          <w:sz w:val="24"/>
          <w:lang w:val="lt-LT"/>
        </w:rPr>
        <w:t xml:space="preserve">2013 m. birželio 12 d. Europos Parlamento ir Tarybos direktyva 2013/29/ES dėl valstybių narių įstatymų, susijusių su pirotechnikos gaminių tiekimu rinkai, suderinimo (OL L 178, 2013 6 28, p. 27, ELI: </w:t>
      </w:r>
      <w:hyperlink r:id="rId5" w:history="1">
        <w:r w:rsidRPr="00AF26B1">
          <w:rPr>
            <w:rStyle w:val="Hyperlink"/>
            <w:sz w:val="24"/>
            <w:lang w:val="lt-LT"/>
          </w:rPr>
          <w:t>http://data.europa.eu/eli/dir/2013/29/oj</w:t>
        </w:r>
      </w:hyperlink>
      <w:r w:rsidRPr="00AF26B1">
        <w:rPr>
          <w:sz w:val="24"/>
          <w:lang w:val="lt-LT"/>
        </w:rPr>
        <w:t>).</w:t>
      </w:r>
    </w:p>
  </w:footnote>
  <w:footnote w:id="8">
    <w:p w:rsidR="002B17BA" w:rsidRPr="00AF26B1" w:rsidP="00AF26B1" w14:paraId="1CFC01F5" w14:textId="28680956">
      <w:pPr>
        <w:pStyle w:val="FootnoteText"/>
        <w:ind w:left="567" w:hanging="567"/>
        <w:rPr>
          <w:sz w:val="24"/>
          <w:lang w:val="lt-LT"/>
        </w:rPr>
      </w:pPr>
      <w:r w:rsidRPr="00AF26B1">
        <w:rPr>
          <w:rStyle w:val="FootnoteReference"/>
          <w:sz w:val="24"/>
          <w:lang w:val="lt-LT"/>
        </w:rPr>
        <w:footnoteRef/>
      </w:r>
      <w:r w:rsidRPr="00AF26B1" w:rsidR="00AF26B1">
        <w:rPr>
          <w:sz w:val="24"/>
          <w:lang w:val="lt-LT"/>
        </w:rPr>
        <w:t xml:space="preserve"> </w:t>
      </w:r>
      <w:r w:rsidRPr="00AF26B1" w:rsidR="00AF26B1">
        <w:rPr>
          <w:sz w:val="24"/>
          <w:lang w:val="lt-LT"/>
        </w:rPr>
        <w:tab/>
      </w:r>
      <w:r w:rsidRPr="00AF26B1">
        <w:rPr>
          <w:sz w:val="24"/>
          <w:lang w:val="lt-LT"/>
        </w:rPr>
        <w:t xml:space="preserve">2024 m. birželio 13 d. Europos Parlamento ir Tarybos direktyva (ES) 2024/1712, kuria iš dalies keičiama Direktyva 2011/36/ES dėl prekybos žmonėmis prevencijos, kovos su ja ir aukų apsaugos, (OL L, 2024/1712, 2024 6 24, ELI: </w:t>
      </w:r>
      <w:hyperlink r:id="rId6" w:history="1">
        <w:r w:rsidRPr="00AF26B1">
          <w:rPr>
            <w:rStyle w:val="Hyperlink"/>
            <w:sz w:val="24"/>
            <w:lang w:val="lt-LT"/>
          </w:rPr>
          <w:t>http://data.europa.eu/eli/dir/2024/1712/oj</w:t>
        </w:r>
      </w:hyperlink>
      <w:r w:rsidRPr="00AF26B1">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5115495">
    <w:abstractNumId w:val="9"/>
  </w:num>
  <w:num w:numId="2" w16cid:durableId="1462572490">
    <w:abstractNumId w:val="9"/>
  </w:num>
  <w:num w:numId="3" w16cid:durableId="263272487">
    <w:abstractNumId w:val="7"/>
  </w:num>
  <w:num w:numId="4" w16cid:durableId="578487433">
    <w:abstractNumId w:val="7"/>
  </w:num>
  <w:num w:numId="5" w16cid:durableId="1382824929">
    <w:abstractNumId w:val="6"/>
  </w:num>
  <w:num w:numId="6" w16cid:durableId="2052722350">
    <w:abstractNumId w:val="6"/>
  </w:num>
  <w:num w:numId="7" w16cid:durableId="1834107401">
    <w:abstractNumId w:val="5"/>
  </w:num>
  <w:num w:numId="8" w16cid:durableId="93869450">
    <w:abstractNumId w:val="5"/>
  </w:num>
  <w:num w:numId="9" w16cid:durableId="1421177013">
    <w:abstractNumId w:val="4"/>
  </w:num>
  <w:num w:numId="10" w16cid:durableId="89013548">
    <w:abstractNumId w:val="4"/>
  </w:num>
  <w:num w:numId="11" w16cid:durableId="1116288945">
    <w:abstractNumId w:val="8"/>
  </w:num>
  <w:num w:numId="12" w16cid:durableId="1137142615">
    <w:abstractNumId w:val="8"/>
  </w:num>
  <w:num w:numId="13" w16cid:durableId="1439984181">
    <w:abstractNumId w:val="3"/>
  </w:num>
  <w:num w:numId="14" w16cid:durableId="73017498">
    <w:abstractNumId w:val="3"/>
  </w:num>
  <w:num w:numId="15" w16cid:durableId="931359103">
    <w:abstractNumId w:val="2"/>
  </w:num>
  <w:num w:numId="16" w16cid:durableId="1943830317">
    <w:abstractNumId w:val="2"/>
  </w:num>
  <w:num w:numId="17" w16cid:durableId="1815223058">
    <w:abstractNumId w:val="1"/>
  </w:num>
  <w:num w:numId="18" w16cid:durableId="1855878852">
    <w:abstractNumId w:val="1"/>
  </w:num>
  <w:num w:numId="19" w16cid:durableId="215705980">
    <w:abstractNumId w:val="0"/>
  </w:num>
  <w:num w:numId="20" w16cid:durableId="803473680">
    <w:abstractNumId w:val="0"/>
  </w:num>
  <w:num w:numId="21" w16cid:durableId="437919830">
    <w:abstractNumId w:val="9"/>
  </w:num>
  <w:num w:numId="22" w16cid:durableId="838618901">
    <w:abstractNumId w:val="7"/>
  </w:num>
  <w:num w:numId="23" w16cid:durableId="224339562">
    <w:abstractNumId w:val="6"/>
  </w:num>
  <w:num w:numId="24" w16cid:durableId="708142860">
    <w:abstractNumId w:val="5"/>
  </w:num>
  <w:num w:numId="25" w16cid:durableId="1038897042">
    <w:abstractNumId w:val="4"/>
  </w:num>
  <w:num w:numId="26" w16cid:durableId="553079690">
    <w:abstractNumId w:val="8"/>
  </w:num>
  <w:num w:numId="27" w16cid:durableId="2007709346">
    <w:abstractNumId w:val="3"/>
  </w:num>
  <w:num w:numId="28" w16cid:durableId="1050804845">
    <w:abstractNumId w:val="2"/>
  </w:num>
  <w:num w:numId="29" w16cid:durableId="1108505503">
    <w:abstractNumId w:val="1"/>
  </w:num>
  <w:num w:numId="30" w16cid:durableId="330333195">
    <w:abstractNumId w:val="0"/>
  </w:num>
  <w:num w:numId="31" w16cid:durableId="1171916372">
    <w:abstractNumId w:val="9"/>
  </w:num>
  <w:num w:numId="32" w16cid:durableId="1126462338">
    <w:abstractNumId w:val="7"/>
  </w:num>
  <w:num w:numId="33" w16cid:durableId="1227303623">
    <w:abstractNumId w:val="6"/>
  </w:num>
  <w:num w:numId="34" w16cid:durableId="1249968639">
    <w:abstractNumId w:val="5"/>
  </w:num>
  <w:num w:numId="35" w16cid:durableId="23098545">
    <w:abstractNumId w:val="4"/>
  </w:num>
  <w:num w:numId="36" w16cid:durableId="1929341040">
    <w:abstractNumId w:val="8"/>
  </w:num>
  <w:num w:numId="37" w16cid:durableId="1382366361">
    <w:abstractNumId w:val="3"/>
  </w:num>
  <w:num w:numId="38" w16cid:durableId="738090171">
    <w:abstractNumId w:val="2"/>
  </w:num>
  <w:num w:numId="39" w16cid:durableId="1260990827">
    <w:abstractNumId w:val="1"/>
  </w:num>
  <w:num w:numId="40" w16cid:durableId="993680518">
    <w:abstractNumId w:val="0"/>
  </w:num>
  <w:num w:numId="41" w16cid:durableId="1637025916">
    <w:abstractNumId w:val="10"/>
  </w:num>
  <w:num w:numId="42" w16cid:durableId="50084114">
    <w:abstractNumId w:val="10"/>
  </w:num>
  <w:num w:numId="43" w16cid:durableId="553541767">
    <w:abstractNumId w:val="10"/>
  </w:num>
  <w:num w:numId="44" w16cid:durableId="1587111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03"/>
    <w:rsid w:val="00002272"/>
    <w:rsid w:val="00064002"/>
    <w:rsid w:val="000677B9"/>
    <w:rsid w:val="000831BA"/>
    <w:rsid w:val="000A42CC"/>
    <w:rsid w:val="000E7DD9"/>
    <w:rsid w:val="0010095E"/>
    <w:rsid w:val="00125B37"/>
    <w:rsid w:val="00187494"/>
    <w:rsid w:val="001F32AE"/>
    <w:rsid w:val="00274612"/>
    <w:rsid w:val="002767FF"/>
    <w:rsid w:val="002B17BA"/>
    <w:rsid w:val="002B18FE"/>
    <w:rsid w:val="002B5493"/>
    <w:rsid w:val="002F6935"/>
    <w:rsid w:val="00343214"/>
    <w:rsid w:val="00361C00"/>
    <w:rsid w:val="0037668B"/>
    <w:rsid w:val="00395FA1"/>
    <w:rsid w:val="003E15D4"/>
    <w:rsid w:val="003E522E"/>
    <w:rsid w:val="00411CCE"/>
    <w:rsid w:val="0041666E"/>
    <w:rsid w:val="00421060"/>
    <w:rsid w:val="00471C19"/>
    <w:rsid w:val="004867E3"/>
    <w:rsid w:val="00494A28"/>
    <w:rsid w:val="004C0004"/>
    <w:rsid w:val="004C5D52"/>
    <w:rsid w:val="0050519A"/>
    <w:rsid w:val="005072A1"/>
    <w:rsid w:val="00514517"/>
    <w:rsid w:val="00545827"/>
    <w:rsid w:val="00560270"/>
    <w:rsid w:val="0058413F"/>
    <w:rsid w:val="005C2568"/>
    <w:rsid w:val="005F1B17"/>
    <w:rsid w:val="006037C0"/>
    <w:rsid w:val="006631B6"/>
    <w:rsid w:val="00680577"/>
    <w:rsid w:val="006C2B4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2ED"/>
    <w:rsid w:val="00930C23"/>
    <w:rsid w:val="0093193B"/>
    <w:rsid w:val="009509D8"/>
    <w:rsid w:val="00950B64"/>
    <w:rsid w:val="00981893"/>
    <w:rsid w:val="009B5603"/>
    <w:rsid w:val="009C5BCC"/>
    <w:rsid w:val="00A1687D"/>
    <w:rsid w:val="00A42631"/>
    <w:rsid w:val="00A43E52"/>
    <w:rsid w:val="00A4678D"/>
    <w:rsid w:val="00A54E80"/>
    <w:rsid w:val="00A778C7"/>
    <w:rsid w:val="00AB441E"/>
    <w:rsid w:val="00AB6293"/>
    <w:rsid w:val="00AE0928"/>
    <w:rsid w:val="00AF26B1"/>
    <w:rsid w:val="00AF3B82"/>
    <w:rsid w:val="00B12E95"/>
    <w:rsid w:val="00B22876"/>
    <w:rsid w:val="00B558F0"/>
    <w:rsid w:val="00B97C57"/>
    <w:rsid w:val="00BA504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5CE"/>
    <w:rsid w:val="00E365E1"/>
    <w:rsid w:val="00E820A4"/>
    <w:rsid w:val="00EB006A"/>
    <w:rsid w:val="00EB4772"/>
    <w:rsid w:val="00ED169E"/>
    <w:rsid w:val="00ED4235"/>
    <w:rsid w:val="00F04346"/>
    <w:rsid w:val="00F075DC"/>
    <w:rsid w:val="00F149E9"/>
    <w:rsid w:val="00F302C6"/>
    <w:rsid w:val="00F5134D"/>
    <w:rsid w:val="00F74202"/>
    <w:rsid w:val="00F87713"/>
    <w:rsid w:val="00FB4360"/>
    <w:rsid w:val="00FD0C70"/>
  </w:rsids>
  <w:docVars>
    <w:docVar w:name="dvdocse" w:val="B10-0275/2026"/>
    <w:docVar w:name="dvlangue" w:val="LT"/>
    <w:docVar w:name="dvnumam" w:val="0"/>
    <w:docVar w:name="dvpe" w:val="783.329"/>
    <w:docVar w:name="dvtitre" w:val="2026 m. ... ... d. Europos Parlamento rezoliucija dėl organizuotų nusikalstamų grupių vykdomo vaikų verbavimo(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90A7A6"/>
  <w15:chartTrackingRefBased/>
  <w15:docId w15:val="{67EA9CE6-17C2-46BC-BBBA-260F26EAD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17BA"/>
    <w:pPr>
      <w:spacing w:before="480" w:after="240"/>
    </w:pPr>
  </w:style>
  <w:style w:type="paragraph" w:customStyle="1" w:styleId="NormalHanging12a">
    <w:name w:val="NormalHanging12a"/>
    <w:basedOn w:val="Normal"/>
    <w:link w:val="NormalHanging12aChar"/>
    <w:rsid w:val="002B17BA"/>
    <w:pPr>
      <w:spacing w:after="240"/>
      <w:ind w:left="567" w:hanging="567"/>
    </w:pPr>
  </w:style>
  <w:style w:type="character" w:styleId="Hyperlink">
    <w:name w:val="Hyperlink"/>
    <w:basedOn w:val="DefaultParagraphFont"/>
    <w:unhideWhenUsed/>
    <w:rsid w:val="002B17BA"/>
    <w:rPr>
      <w:color w:val="0563C1" w:themeColor="hyperlink"/>
      <w:u w:val="single"/>
    </w:rPr>
  </w:style>
  <w:style w:type="character" w:customStyle="1" w:styleId="NormalHanging12aChar">
    <w:name w:val="NormalHanging12a Char"/>
    <w:basedOn w:val="DefaultParagraphFont"/>
    <w:link w:val="NormalHanging12a"/>
    <w:rsid w:val="002B17BA"/>
    <w:rPr>
      <w:sz w:val="24"/>
      <w:lang w:val="lt-L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2B17BA"/>
    <w:pPr>
      <w:widowControl/>
      <w:spacing w:after="160" w:line="240" w:lineRule="exact"/>
    </w:pPr>
    <w:rPr>
      <w:sz w:val="20"/>
      <w:vertAlign w:val="superscript"/>
      <w:lang w:val="en-GB"/>
    </w:rPr>
  </w:style>
  <w:style w:type="paragraph" w:styleId="Revision">
    <w:name w:val="Revision"/>
    <w:hidden/>
    <w:uiPriority w:val="99"/>
    <w:semiHidden/>
    <w:rsid w:val="00B97C5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2386</Words>
  <Characters>17223</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2026-07-23T12:14:00Z</dcterms:created>
  <dcterms:modified xsi:type="dcterms:W3CDTF">2026-07-23T12:14:00Z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B10-0275/2026</vt:lpwstr>
  </property>
  <property fmtid="{D5CDD505-2E9C-101B-9397-08002B2CF9AE}" pid="4" name="&lt;Type&gt;">
    <vt:lpwstr>RR</vt:lpwstr>
  </property>
</Properties>
</file>