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7254516" w14:textId="77777777" w:rsidTr="0010095E">
        <w:tblPrEx>
          <w:tblW w:w="9072" w:type="dxa"/>
          <w:tblLook w:val="01E0"/>
        </w:tblPrEx>
        <w:trPr>
          <w:trHeight w:hRule="exact" w:val="1418"/>
        </w:trPr>
        <w:tc>
          <w:tcPr>
            <w:tcW w:w="6804" w:type="dxa"/>
            <w:shd w:val="clear" w:color="auto" w:fill="auto"/>
            <w:vAlign w:val="center"/>
          </w:tcPr>
          <w:p w:rsidR="00751A4A" w:rsidRPr="006A34D8" w:rsidP="0010095E" w14:paraId="15386835" w14:textId="77777777">
            <w:pPr>
              <w:pStyle w:val="EPName"/>
            </w:pPr>
            <w:r w:rsidRPr="006A34D8">
              <w:t>Eiropas Parlaments</w:t>
            </w:r>
          </w:p>
          <w:p w:rsidR="00751A4A" w:rsidRPr="006A34D8" w:rsidP="005F1B17" w14:paraId="30028682" w14:textId="77777777">
            <w:pPr>
              <w:pStyle w:val="EPTerm"/>
              <w:rPr>
                <w:rStyle w:val="HideTWBExt"/>
                <w:noProof w:val="0"/>
                <w:vanish w:val="0"/>
                <w:color w:val="auto"/>
              </w:rPr>
            </w:pPr>
            <w:r w:rsidRPr="006A34D8">
              <w:t>2024</w:t>
            </w:r>
            <w:r w:rsidRPr="006A34D8" w:rsidR="00817416">
              <w:t>-202</w:t>
            </w:r>
            <w:r w:rsidRPr="006A34D8">
              <w:t>9</w:t>
            </w:r>
          </w:p>
        </w:tc>
        <w:tc>
          <w:tcPr>
            <w:tcW w:w="2268" w:type="dxa"/>
            <w:shd w:val="clear" w:color="auto" w:fill="auto"/>
          </w:tcPr>
          <w:p w:rsidR="00751A4A" w:rsidRPr="006A34D8" w:rsidP="0010095E" w14:paraId="6BEEE71D" w14:textId="77777777">
            <w:pPr>
              <w:pStyle w:val="EPLogo"/>
            </w:pPr>
            <w:r w:rsidRPr="006A34D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A34D8" w:rsidP="004C5D52" w14:paraId="7BD83913" w14:textId="77777777">
      <w:pPr>
        <w:pStyle w:val="LineTop"/>
      </w:pPr>
    </w:p>
    <w:p w:rsidR="00680577" w:rsidRPr="006A34D8" w:rsidP="00680577" w14:paraId="3112972C" w14:textId="77777777">
      <w:pPr>
        <w:pStyle w:val="EPBodyTA1"/>
      </w:pPr>
      <w:r w:rsidRPr="006A34D8">
        <w:t>PIEŅEMTIE TEKSTI</w:t>
      </w:r>
    </w:p>
    <w:p w:rsidR="00D058B8" w:rsidRPr="006A34D8" w:rsidP="00D058B8" w14:paraId="313E43D5" w14:textId="77777777">
      <w:pPr>
        <w:pStyle w:val="LineBottom"/>
      </w:pPr>
    </w:p>
    <w:p w:rsidR="00EE6637" w:rsidRPr="006A34D8" w:rsidP="00EE6637" w14:paraId="3CBD1BD8" w14:textId="2D8EC327">
      <w:pPr>
        <w:pStyle w:val="ATHeading1"/>
      </w:pPr>
      <w:bookmarkStart w:id="0" w:name="TANumber"/>
      <w:r w:rsidRPr="006A34D8">
        <w:t>P10_TA(2026)0</w:t>
      </w:r>
      <w:r w:rsidRPr="006A34D8" w:rsidR="00AA3E57">
        <w:t>23</w:t>
      </w:r>
      <w:r w:rsidRPr="006A34D8">
        <w:t>0</w:t>
      </w:r>
      <w:bookmarkEnd w:id="0"/>
    </w:p>
    <w:p w:rsidR="00EE6637" w:rsidRPr="006A34D8" w:rsidP="00EE6637" w14:paraId="3DE202AA" w14:textId="77777777">
      <w:pPr>
        <w:pStyle w:val="ATHeading2"/>
      </w:pPr>
      <w:bookmarkStart w:id="1" w:name="title"/>
      <w:r w:rsidRPr="006A34D8">
        <w:t>Bērnu vervēšana organizētajā noziedzībā</w:t>
      </w:r>
      <w:bookmarkEnd w:id="1"/>
    </w:p>
    <w:p w:rsidR="00EE6637" w:rsidRPr="006A34D8" w:rsidP="00EE6637" w14:paraId="228CFB64" w14:textId="77777777">
      <w:pPr>
        <w:rPr>
          <w:i/>
          <w:vanish/>
        </w:rPr>
      </w:pPr>
      <w:r>
        <w:rPr>
          <w:i/>
        </w:rPr>
        <w:fldChar w:fldCharType="begin"/>
      </w:r>
      <w:r w:rsidRPr="006A34D8">
        <w:rPr>
          <w:i/>
        </w:rPr>
        <w:instrText xml:space="preserve"> TC"(</w:instrText>
      </w:r>
      <w:bookmarkStart w:id="2" w:name="DocNumber"/>
      <w:r w:rsidRPr="006A34D8">
        <w:rPr>
          <w:i/>
        </w:rPr>
        <w:instrText>B10-0275/2026</w:instrText>
      </w:r>
      <w:bookmarkEnd w:id="2"/>
      <w:r w:rsidRPr="006A34D8">
        <w:rPr>
          <w:i/>
        </w:rPr>
        <w:instrText xml:space="preserve">)"\l3 \n&gt; \* MERGEFORMAT </w:instrText>
      </w:r>
      <w:r>
        <w:rPr>
          <w:i/>
        </w:rPr>
        <w:fldChar w:fldCharType="end"/>
      </w:r>
    </w:p>
    <w:p w:rsidR="00EE6637" w:rsidRPr="006A34D8" w:rsidP="00EE6637" w14:paraId="1594F7AF" w14:textId="77777777">
      <w:pPr>
        <w:rPr>
          <w:vanish/>
        </w:rPr>
      </w:pPr>
      <w:bookmarkStart w:id="3" w:name="PE"/>
      <w:r w:rsidRPr="006A34D8">
        <w:rPr>
          <w:vanish/>
        </w:rPr>
        <w:t>PE783.329</w:t>
      </w:r>
      <w:bookmarkEnd w:id="3"/>
    </w:p>
    <w:p w:rsidR="005043B9" w:rsidRPr="006A34D8" w:rsidP="001972E3" w14:paraId="39A01038" w14:textId="4B769BF3">
      <w:pPr>
        <w:pStyle w:val="ATHeading3"/>
      </w:pPr>
      <w:bookmarkStart w:id="4" w:name="Sujet"/>
      <w:r w:rsidRPr="006A34D8">
        <w:t xml:space="preserve">Eiropas Parlamenta 2026. gada </w:t>
      </w:r>
      <w:r w:rsidRPr="006A34D8" w:rsidR="001972E3">
        <w:t>18</w:t>
      </w:r>
      <w:r w:rsidRPr="006A34D8">
        <w:t xml:space="preserve">. </w:t>
      </w:r>
      <w:r w:rsidRPr="006A34D8" w:rsidR="001972E3">
        <w:t>jūnija</w:t>
      </w:r>
      <w:r w:rsidRPr="006A34D8">
        <w:t xml:space="preserve"> rezolūcija par bērnu vervēšanu organizētajā noziedzībā</w:t>
      </w:r>
      <w:bookmarkEnd w:id="4"/>
      <w:r w:rsidRPr="006A34D8">
        <w:t xml:space="preserve"> </w:t>
      </w:r>
      <w:bookmarkStart w:id="5" w:name="References"/>
      <w:r w:rsidRPr="006A34D8">
        <w:t>(2026/2725(RSP))</w:t>
      </w:r>
      <w:bookmarkStart w:id="6" w:name="TextBodyBegin"/>
      <w:bookmarkEnd w:id="5"/>
      <w:bookmarkEnd w:id="6"/>
    </w:p>
    <w:p w:rsidR="005043B9" w:rsidRPr="006A34D8" w:rsidP="005043B9" w14:paraId="4C9B178C" w14:textId="77777777">
      <w:pPr>
        <w:pStyle w:val="EPComma"/>
      </w:pPr>
      <w:r w:rsidRPr="006A34D8">
        <w:rPr>
          <w:i/>
          <w:iCs/>
        </w:rPr>
        <w:t>Eiropas Parlaments</w:t>
      </w:r>
      <w:r w:rsidRPr="006A34D8">
        <w:t>,</w:t>
      </w:r>
    </w:p>
    <w:p w:rsidR="005043B9" w:rsidRPr="006A34D8" w:rsidP="005043B9" w14:paraId="74E34294" w14:textId="77777777">
      <w:pPr>
        <w:pStyle w:val="NormalHanging12a"/>
        <w:rPr>
          <w:spacing w:val="-2"/>
        </w:rPr>
      </w:pPr>
      <w:r w:rsidRPr="006A34D8">
        <w:t>–</w:t>
      </w:r>
      <w:r w:rsidRPr="006A34D8">
        <w:tab/>
        <w:t>ņemot vērā ANO Konvenciju par bērna tiesībām,</w:t>
      </w:r>
    </w:p>
    <w:p w:rsidR="005043B9" w:rsidRPr="006A34D8" w:rsidP="005043B9" w14:paraId="4D7E171C" w14:textId="77777777">
      <w:pPr>
        <w:pStyle w:val="NormalHanging12a"/>
        <w:rPr>
          <w:spacing w:val="-2"/>
        </w:rPr>
      </w:pPr>
      <w:r w:rsidRPr="006A34D8">
        <w:t>–</w:t>
      </w:r>
      <w:r w:rsidRPr="006A34D8">
        <w:tab/>
        <w:t>ņemot vērā Apvienoto Nāciju Organizācijas Ģenerālās asamblejas rezolūciju 79/188 par vardarbības pret bērniem, ko īsteno organizētās noziedzīgās grupas un teroristu grupas, novēršanu un apkarošanu noziedzības novēršanas un krimināltiesību kontekstā,</w:t>
      </w:r>
    </w:p>
    <w:p w:rsidR="005043B9" w:rsidRPr="006A34D8" w:rsidP="005043B9" w14:paraId="79496403" w14:textId="77777777">
      <w:pPr>
        <w:pStyle w:val="NormalHanging12a"/>
        <w:rPr>
          <w:spacing w:val="-2"/>
        </w:rPr>
      </w:pPr>
      <w:r w:rsidRPr="006A34D8">
        <w:t>–</w:t>
      </w:r>
      <w:r w:rsidRPr="006A34D8">
        <w:tab/>
        <w:t>ņemot vērā Apvienoto Nāciju Organizācijas Ekonomikas un sociālo lietu padomes rezolūciju 2024/12 par izturēšanos pret bērniem, kuri saistīti ar teroristu grupām, tostarp bērniem, kurus šīs grupas vervē un izmanto,</w:t>
      </w:r>
    </w:p>
    <w:p w:rsidR="005043B9" w:rsidRPr="006A34D8" w:rsidP="005043B9" w14:paraId="0F8EB4F0" w14:textId="77777777">
      <w:pPr>
        <w:pStyle w:val="NormalHanging12a"/>
        <w:rPr>
          <w:spacing w:val="-2"/>
        </w:rPr>
      </w:pPr>
      <w:r w:rsidRPr="006A34D8">
        <w:t>–</w:t>
      </w:r>
      <w:r w:rsidRPr="006A34D8">
        <w:tab/>
        <w:t xml:space="preserve">ņemot vērā Komisijas 2025. gada 1. aprīļa paziņojumu par </w:t>
      </w:r>
      <w:r w:rsidRPr="006A34D8">
        <w:rPr>
          <w:i/>
          <w:iCs/>
        </w:rPr>
        <w:t>ProtectEU</w:t>
      </w:r>
      <w:r w:rsidRPr="006A34D8">
        <w:t>: Eiropas iekšējās drošības stratēģiju (COM(2025)0148),</w:t>
      </w:r>
    </w:p>
    <w:p w:rsidR="005043B9" w:rsidRPr="006A34D8" w:rsidP="005043B9" w14:paraId="70C019C0" w14:textId="77777777">
      <w:pPr>
        <w:pStyle w:val="NormalHanging12a"/>
        <w:rPr>
          <w:spacing w:val="-2"/>
        </w:rPr>
      </w:pPr>
      <w:r w:rsidRPr="006A34D8">
        <w:t>–</w:t>
      </w:r>
      <w:r w:rsidRPr="006A34D8">
        <w:tab/>
        <w:t xml:space="preserve">ņemot vērā Eiropola 2025. gada ziņojumu “Eiropas Savienības smagās un organizētās noziedzības draudu novērtējums” (ES </w:t>
      </w:r>
      <w:r w:rsidRPr="006A34D8">
        <w:rPr>
          <w:i/>
          <w:iCs/>
        </w:rPr>
        <w:t>SOCTA)</w:t>
      </w:r>
      <w:r w:rsidRPr="006A34D8">
        <w:t>,</w:t>
      </w:r>
    </w:p>
    <w:p w:rsidR="005043B9" w:rsidRPr="006A34D8" w:rsidP="005043B9" w14:paraId="14A8CE4B" w14:textId="77777777">
      <w:pPr>
        <w:pStyle w:val="NormalHanging12a"/>
        <w:rPr>
          <w:spacing w:val="-2"/>
        </w:rPr>
      </w:pPr>
      <w:r w:rsidRPr="006A34D8">
        <w:t>–</w:t>
      </w:r>
      <w:r w:rsidRPr="006A34D8">
        <w:tab/>
        <w:t>ņemot vērā gaidāmo ES rīcības plānu bērnu aizsardzībai pret noziedzību,</w:t>
      </w:r>
    </w:p>
    <w:p w:rsidR="005043B9" w:rsidRPr="006A34D8" w:rsidP="005043B9" w14:paraId="2AFECA52" w14:textId="77777777">
      <w:pPr>
        <w:pStyle w:val="NormalHanging12a"/>
        <w:rPr>
          <w:spacing w:val="-2"/>
        </w:rPr>
      </w:pPr>
      <w:r w:rsidRPr="006A34D8">
        <w:t>–</w:t>
      </w:r>
      <w:r w:rsidRPr="006A34D8">
        <w:tab/>
        <w:t>ņemot vērā ES un Apvienoto Nāciju Organizācijas Narkotiku un noziedzības novēršanas biroja (</w:t>
      </w:r>
      <w:r w:rsidRPr="006A34D8">
        <w:rPr>
          <w:i/>
          <w:iCs/>
        </w:rPr>
        <w:t>UNODC</w:t>
      </w:r>
      <w:r w:rsidRPr="006A34D8">
        <w:t xml:space="preserve">) projektu </w:t>
      </w:r>
      <w:r w:rsidRPr="006A34D8">
        <w:rPr>
          <w:i/>
          <w:iCs/>
        </w:rPr>
        <w:t xml:space="preserve">STRIVE </w:t>
      </w:r>
      <w:r w:rsidRPr="006A34D8">
        <w:rPr>
          <w:i/>
          <w:iCs/>
        </w:rPr>
        <w:t>Juvenile</w:t>
      </w:r>
      <w:r w:rsidRPr="006A34D8">
        <w:t xml:space="preserve"> un šā projekta novērtējumā ietvertos konstatējumus,</w:t>
      </w:r>
    </w:p>
    <w:p w:rsidR="005043B9" w:rsidRPr="006A34D8" w:rsidP="005043B9" w14:paraId="0BA472AD" w14:textId="77777777">
      <w:pPr>
        <w:pStyle w:val="NormalHanging12a"/>
      </w:pPr>
      <w:bookmarkStart w:id="7" w:name="_Hlk231207339"/>
      <w:r w:rsidRPr="006A34D8">
        <w:rPr>
          <w:snapToGrid w:val="0"/>
        </w:rPr>
        <w:t>–</w:t>
      </w:r>
      <w:r w:rsidRPr="006A34D8">
        <w:rPr>
          <w:snapToGrid w:val="0"/>
        </w:rPr>
        <w:tab/>
      </w:r>
      <w:r w:rsidRPr="006A34D8">
        <w:t>ņemot vērā Eiropas Parlamenta un Padomes Regula (ES) 2022/2065 (2022. gada 19. oktobris) par digitālo pakalpojumu vienoto tirgu un ar ko groza Direktīvu 2000/31/EK (Digitālo pakalpojumu akts)</w:t>
      </w:r>
      <w:r>
        <w:rPr>
          <w:rStyle w:val="FootnoteReference"/>
        </w:rPr>
        <w:footnoteReference w:id="2"/>
      </w:r>
      <w:r w:rsidRPr="006A34D8">
        <w:t>, jo īpaši tās noteikumus par nepilngadīgo aizsardzību tiešsaistē, ar nelikumīgu saturu un kaitīgu uzvedību tiešsaistē saistīto sistēmisko risku novērtēšanu un mazināšanu, ieteikumu sistēmām un ļoti lielu tiešsaistes platformu un meklētājprogrammu nodrošinātājiem piemērojamajiem pienākumiem,</w:t>
      </w:r>
    </w:p>
    <w:p w:rsidR="005043B9" w:rsidRPr="006A34D8" w:rsidP="005043B9" w14:paraId="3ED003E1" w14:textId="77777777">
      <w:pPr>
        <w:pStyle w:val="NormalHanging12a"/>
      </w:pPr>
      <w:r w:rsidRPr="006A34D8">
        <w:rPr>
          <w:snapToGrid w:val="0"/>
        </w:rPr>
        <w:t>–</w:t>
      </w:r>
      <w:r w:rsidRPr="006A34D8">
        <w:rPr>
          <w:snapToGrid w:val="0"/>
        </w:rPr>
        <w:tab/>
      </w:r>
      <w:r w:rsidRPr="006A34D8">
        <w:t xml:space="preserve">ņemot vērā Komisijas 2025. gada 14. jūlija vadlīnijas uz Digitālo pakalpojumu akta </w:t>
      </w:r>
      <w:r w:rsidRPr="006A34D8">
        <w:t>pamata par nepilngadīgo aizsardzību</w:t>
      </w:r>
      <w:r>
        <w:rPr>
          <w:rStyle w:val="FootnoteReference"/>
        </w:rPr>
        <w:footnoteReference w:id="3"/>
      </w:r>
      <w:r w:rsidRPr="006A34D8">
        <w:t>,</w:t>
      </w:r>
    </w:p>
    <w:p w:rsidR="005043B9" w:rsidRPr="006A34D8" w:rsidP="005043B9" w14:paraId="4D31AEF2" w14:textId="77777777">
      <w:pPr>
        <w:pStyle w:val="NormalHanging12a"/>
      </w:pPr>
      <w:r w:rsidRPr="006A34D8">
        <w:rPr>
          <w:snapToGrid w:val="0"/>
        </w:rPr>
        <w:t>–</w:t>
      </w:r>
      <w:r w:rsidRPr="006A34D8">
        <w:rPr>
          <w:snapToGrid w:val="0"/>
        </w:rPr>
        <w:tab/>
      </w:r>
      <w:r w:rsidRPr="006A34D8">
        <w:t>ņemot vērā Eiropola 2024. gada 12. novembra izlūkošanas ziņojumu “</w:t>
      </w:r>
      <w:r w:rsidRPr="006A34D8">
        <w:t>The</w:t>
      </w:r>
      <w:r w:rsidRPr="006A34D8">
        <w:t xml:space="preserve"> </w:t>
      </w:r>
      <w:r w:rsidRPr="006A34D8">
        <w:t>recruitment</w:t>
      </w:r>
      <w:r w:rsidRPr="006A34D8">
        <w:t xml:space="preserve"> </w:t>
      </w:r>
      <w:r w:rsidRPr="006A34D8">
        <w:t>of</w:t>
      </w:r>
      <w:r w:rsidRPr="006A34D8">
        <w:t xml:space="preserve"> </w:t>
      </w:r>
      <w:r w:rsidRPr="006A34D8">
        <w:t>young</w:t>
      </w:r>
      <w:r w:rsidRPr="006A34D8">
        <w:t xml:space="preserve"> </w:t>
      </w:r>
      <w:r w:rsidRPr="006A34D8">
        <w:t>perpetrators</w:t>
      </w:r>
      <w:r w:rsidRPr="006A34D8">
        <w:t xml:space="preserve"> </w:t>
      </w:r>
      <w:r w:rsidRPr="006A34D8">
        <w:t>for</w:t>
      </w:r>
      <w:r w:rsidRPr="006A34D8">
        <w:t xml:space="preserve"> </w:t>
      </w:r>
      <w:r w:rsidRPr="006A34D8">
        <w:t>criminal</w:t>
      </w:r>
      <w:r w:rsidRPr="006A34D8">
        <w:t xml:space="preserve"> </w:t>
      </w:r>
      <w:r w:rsidRPr="006A34D8">
        <w:t>networks</w:t>
      </w:r>
      <w:r w:rsidRPr="006A34D8">
        <w:t>” (“Gados jaunu likumpārkāpēju vervēšana darbībai noziedznieku tīklos”),</w:t>
      </w:r>
    </w:p>
    <w:p w:rsidR="005043B9" w:rsidRPr="006A34D8" w:rsidP="005043B9" w14:paraId="06115C73" w14:textId="77777777">
      <w:pPr>
        <w:pStyle w:val="NormalHanging12a"/>
      </w:pPr>
      <w:r w:rsidRPr="006A34D8">
        <w:rPr>
          <w:snapToGrid w:val="0"/>
        </w:rPr>
        <w:t>–</w:t>
      </w:r>
      <w:r w:rsidRPr="006A34D8">
        <w:rPr>
          <w:snapToGrid w:val="0"/>
        </w:rPr>
        <w:tab/>
      </w:r>
      <w:r w:rsidRPr="006A34D8">
        <w:t xml:space="preserve">ņemot vērā </w:t>
      </w:r>
      <w:r w:rsidRPr="006A34D8">
        <w:rPr>
          <w:i/>
          <w:iCs/>
        </w:rPr>
        <w:t xml:space="preserve">UNICEF </w:t>
      </w:r>
      <w:r w:rsidRPr="006A34D8">
        <w:rPr>
          <w:i/>
          <w:iCs/>
        </w:rPr>
        <w:t>Innocenti</w:t>
      </w:r>
      <w:r w:rsidRPr="006A34D8">
        <w:t xml:space="preserve"> – </w:t>
      </w:r>
      <w:r w:rsidRPr="006A34D8">
        <w:rPr>
          <w:i/>
          <w:iCs/>
        </w:rPr>
        <w:t>Global</w:t>
      </w:r>
      <w:r w:rsidRPr="006A34D8">
        <w:rPr>
          <w:i/>
          <w:iCs/>
        </w:rPr>
        <w:t xml:space="preserve"> Office </w:t>
      </w:r>
      <w:r w:rsidRPr="006A34D8">
        <w:rPr>
          <w:i/>
          <w:iCs/>
        </w:rPr>
        <w:t>of</w:t>
      </w:r>
      <w:r w:rsidRPr="006A34D8">
        <w:rPr>
          <w:i/>
          <w:iCs/>
        </w:rPr>
        <w:t xml:space="preserve"> </w:t>
      </w:r>
      <w:r w:rsidRPr="006A34D8">
        <w:rPr>
          <w:i/>
          <w:iCs/>
        </w:rPr>
        <w:t>Research</w:t>
      </w:r>
      <w:r w:rsidRPr="006A34D8">
        <w:rPr>
          <w:i/>
          <w:iCs/>
        </w:rPr>
        <w:t xml:space="preserve"> </w:t>
      </w:r>
      <w:r w:rsidRPr="006A34D8">
        <w:rPr>
          <w:i/>
          <w:iCs/>
        </w:rPr>
        <w:t>and</w:t>
      </w:r>
      <w:r w:rsidRPr="006A34D8">
        <w:rPr>
          <w:i/>
          <w:iCs/>
        </w:rPr>
        <w:t xml:space="preserve"> </w:t>
      </w:r>
      <w:r w:rsidRPr="006A34D8">
        <w:rPr>
          <w:i/>
          <w:iCs/>
        </w:rPr>
        <w:t>Foresight</w:t>
      </w:r>
      <w:r w:rsidRPr="006A34D8">
        <w:t xml:space="preserve"> (</w:t>
      </w:r>
      <w:r w:rsidRPr="006A34D8">
        <w:rPr>
          <w:i/>
          <w:iCs/>
        </w:rPr>
        <w:t xml:space="preserve">UNICEF </w:t>
      </w:r>
      <w:r w:rsidRPr="006A34D8">
        <w:rPr>
          <w:i/>
          <w:iCs/>
        </w:rPr>
        <w:t>Innocenti</w:t>
      </w:r>
      <w:r w:rsidRPr="006A34D8">
        <w:t xml:space="preserve"> – Globālais pētniecības un prognozēšanas birojs) 2024. gada septembra darba dokumentu “</w:t>
      </w:r>
      <w:r w:rsidRPr="006A34D8">
        <w:t>Children’s</w:t>
      </w:r>
      <w:r w:rsidRPr="006A34D8">
        <w:t xml:space="preserve"> </w:t>
      </w:r>
      <w:r w:rsidRPr="006A34D8">
        <w:t>Involvement</w:t>
      </w:r>
      <w:r w:rsidRPr="006A34D8">
        <w:t xml:space="preserve"> </w:t>
      </w:r>
      <w:r w:rsidRPr="006A34D8">
        <w:t>in</w:t>
      </w:r>
      <w:r w:rsidRPr="006A34D8">
        <w:t xml:space="preserve"> </w:t>
      </w:r>
      <w:r w:rsidRPr="006A34D8">
        <w:t>Organised</w:t>
      </w:r>
      <w:r w:rsidRPr="006A34D8">
        <w:t xml:space="preserve"> </w:t>
      </w:r>
      <w:r w:rsidRPr="006A34D8">
        <w:t>Violence</w:t>
      </w:r>
      <w:r w:rsidRPr="006A34D8">
        <w:t xml:space="preserve">: </w:t>
      </w:r>
      <w:r w:rsidRPr="006A34D8">
        <w:t>Emerging</w:t>
      </w:r>
      <w:r w:rsidRPr="006A34D8">
        <w:t xml:space="preserve"> trends </w:t>
      </w:r>
      <w:r w:rsidRPr="006A34D8">
        <w:t>and</w:t>
      </w:r>
      <w:r w:rsidRPr="006A34D8">
        <w:t xml:space="preserve"> </w:t>
      </w:r>
      <w:r w:rsidRPr="006A34D8">
        <w:t>knowledge</w:t>
      </w:r>
      <w:r w:rsidRPr="006A34D8">
        <w:t xml:space="preserve"> </w:t>
      </w:r>
      <w:r w:rsidRPr="006A34D8">
        <w:t>gaps</w:t>
      </w:r>
      <w:r w:rsidRPr="006A34D8">
        <w:t>” (“Bērnu iesaiste organizētā vardarbībā: jaunas tendences un zināšanu nepietiekamība”),</w:t>
      </w:r>
    </w:p>
    <w:bookmarkEnd w:id="7"/>
    <w:p w:rsidR="005043B9" w:rsidRPr="006A34D8" w:rsidP="005043B9" w14:paraId="631455C8" w14:textId="77777777">
      <w:pPr>
        <w:pStyle w:val="NormalHanging12a"/>
        <w:rPr>
          <w:bCs/>
          <w:spacing w:val="-2"/>
        </w:rPr>
      </w:pPr>
      <w:r w:rsidRPr="006A34D8">
        <w:t>–</w:t>
      </w:r>
      <w:r w:rsidRPr="006A34D8">
        <w:tab/>
        <w:t>ņemot vērā ES stratēģiju par bērna tiesībām un ES stratēģiju narkotiku jomā,</w:t>
      </w:r>
    </w:p>
    <w:p w:rsidR="005043B9" w:rsidRPr="006A34D8" w:rsidP="005043B9" w14:paraId="1E2BC7BA" w14:textId="77777777">
      <w:pPr>
        <w:pStyle w:val="NormalHanging12a"/>
        <w:rPr>
          <w:bCs/>
          <w:spacing w:val="-2"/>
        </w:rPr>
      </w:pPr>
      <w:r w:rsidRPr="006A34D8">
        <w:t>–</w:t>
      </w:r>
      <w:r w:rsidRPr="006A34D8">
        <w:tab/>
        <w:t xml:space="preserve">ņemot vērā Pilsoņu brīvību, tieslietu un </w:t>
      </w:r>
      <w:r w:rsidRPr="006A34D8">
        <w:t>iekšlietu</w:t>
      </w:r>
      <w:r w:rsidRPr="006A34D8">
        <w:t xml:space="preserve"> komitejas 2025. gada 4. jūnijā rīkoto uzklausīšanu “</w:t>
      </w:r>
      <w:r w:rsidRPr="006A34D8">
        <w:t>Radikalizācija</w:t>
      </w:r>
      <w:r w:rsidRPr="006A34D8">
        <w:t xml:space="preserve"> tiešsaistē, īpašu uzmanību pievēršot bērnu vervēšanai organizētās noziedzības un terorisma nolūkos”,</w:t>
      </w:r>
    </w:p>
    <w:p w:rsidR="005043B9" w:rsidRPr="006A34D8" w:rsidP="005043B9" w14:paraId="1099FDE5" w14:textId="5249CF77">
      <w:pPr>
        <w:pStyle w:val="NormalHanging12a"/>
        <w:rPr>
          <w:bCs/>
          <w:spacing w:val="-2"/>
        </w:rPr>
      </w:pPr>
      <w:r w:rsidRPr="006A34D8">
        <w:t>–</w:t>
      </w:r>
      <w:r w:rsidRPr="006A34D8">
        <w:tab/>
        <w:t>ņemot vērā 20</w:t>
      </w:r>
      <w:r w:rsidR="00DB61B4">
        <w:t>26</w:t>
      </w:r>
      <w:r w:rsidRPr="006A34D8">
        <w:t xml:space="preserve">. gada </w:t>
      </w:r>
      <w:r w:rsidR="00DB61B4">
        <w:t>20</w:t>
      </w:r>
      <w:r w:rsidRPr="006A34D8">
        <w:t>. </w:t>
      </w:r>
      <w:r w:rsidR="00DB61B4">
        <w:t>janvāra</w:t>
      </w:r>
      <w:r w:rsidRPr="006A34D8">
        <w:t xml:space="preserve"> rezolūciju par </w:t>
      </w:r>
      <w:r w:rsidRPr="006A34D8">
        <w:rPr>
          <w:i/>
          <w:iCs/>
        </w:rPr>
        <w:t>Mehdi</w:t>
      </w:r>
      <w:r w:rsidRPr="006A34D8">
        <w:rPr>
          <w:i/>
          <w:iCs/>
        </w:rPr>
        <w:t xml:space="preserve"> </w:t>
      </w:r>
      <w:r w:rsidRPr="006A34D8">
        <w:rPr>
          <w:i/>
          <w:iCs/>
        </w:rPr>
        <w:t>Kessaci</w:t>
      </w:r>
      <w:r w:rsidRPr="006A34D8">
        <w:t xml:space="preserve"> slepkavību: steidzami nepieciešama vērienīga Eiropas rīcība cīņā pret narkotiku nelegālu tirdzniecību</w:t>
      </w:r>
      <w:r>
        <w:rPr>
          <w:rStyle w:val="FootnoteReference"/>
        </w:rPr>
        <w:footnoteReference w:id="4"/>
      </w:r>
      <w:r w:rsidRPr="006A34D8">
        <w:t>,</w:t>
      </w:r>
    </w:p>
    <w:p w:rsidR="005043B9" w:rsidRPr="006A34D8" w:rsidP="005043B9" w14:paraId="7EADED10" w14:textId="77777777">
      <w:pPr>
        <w:pStyle w:val="NormalHanging12a"/>
        <w:rPr>
          <w:spacing w:val="-2"/>
        </w:rPr>
      </w:pPr>
      <w:r w:rsidRPr="006A34D8">
        <w:t>–</w:t>
      </w:r>
      <w:r w:rsidRPr="006A34D8">
        <w:tab/>
        <w:t>ņemot vērā Eiropas Parlamenta un Padomes 2016. gada 11. maija Direktīvu (ES) 2016/800 par procesuālajām garantijām bērniem, kuri ir aizdomās turētie vai apsūdzētie kriminālprocesā</w:t>
      </w:r>
      <w:r>
        <w:rPr>
          <w:rStyle w:val="FootnoteReference"/>
        </w:rPr>
        <w:footnoteReference w:id="5"/>
      </w:r>
      <w:r w:rsidRPr="006A34D8">
        <w:t>,</w:t>
      </w:r>
    </w:p>
    <w:p w:rsidR="005043B9" w:rsidRPr="006A34D8" w:rsidP="005043B9" w14:paraId="716C8BD3" w14:textId="77777777">
      <w:pPr>
        <w:pStyle w:val="NormalHanging12a"/>
      </w:pPr>
      <w:r w:rsidRPr="006A34D8">
        <w:t>–</w:t>
      </w:r>
      <w:r w:rsidRPr="006A34D8">
        <w:tab/>
        <w:t>ņemot vērā Reglamenta 136. panta 2. punktu,</w:t>
      </w:r>
    </w:p>
    <w:p w:rsidR="005043B9" w:rsidRPr="006A34D8" w:rsidP="005043B9" w14:paraId="6C3D1828" w14:textId="77777777">
      <w:pPr>
        <w:pStyle w:val="NormalHanging12a"/>
      </w:pPr>
      <w:r w:rsidRPr="006A34D8">
        <w:t>A.</w:t>
      </w:r>
      <w:r w:rsidRPr="006A34D8">
        <w:rPr>
          <w:snapToGrid w:val="0"/>
        </w:rPr>
        <w:tab/>
      </w:r>
      <w:r w:rsidRPr="006A34D8">
        <w:t>tā kā organizētās noziedzīgās grupas un teroristu grupas savu darbības stratēģiju ietvaros aizvien vairāk vervē un nelikumīgi izmanto bērnus, tostarp nolūkā pasargāt pieaugušos likumpārkāpējus no atklāšanas un kriminālvajāšanas un paplašināt savu nelikumīgo darbību;</w:t>
      </w:r>
    </w:p>
    <w:p w:rsidR="005043B9" w:rsidRPr="006A34D8" w:rsidP="005043B9" w14:paraId="7ED4B621" w14:textId="77777777">
      <w:pPr>
        <w:pStyle w:val="NormalHanging12a"/>
      </w:pPr>
      <w:r w:rsidRPr="006A34D8">
        <w:rPr>
          <w:snapToGrid w:val="0"/>
        </w:rPr>
        <w:t>B.</w:t>
      </w:r>
      <w:r w:rsidRPr="006A34D8">
        <w:rPr>
          <w:snapToGrid w:val="0"/>
        </w:rPr>
        <w:tab/>
      </w:r>
      <w:r w:rsidRPr="006A34D8">
        <w:t>tā kā Eiropola 2024. gada novembra izlūkošanas ziņojums liecina, ka nepilngadīgajiem, kas savervēti darbībai noziedznieku tīklos, parasti nav tieša kontakta ar organizācijas augstākajiem līmeņiem un viņi tiek mobilizēti ar noziedzīgu pakalpojumu sniedzēju starpniecību; tā kā šo nepilngadīgo ierobežotās zināšanas par tīklu struktūru un tas, ka viņiem bieži nav iepriekšējas sodāmības, padara viņus par zema riska dalībniekiem, kuri apcietināšanas gadījumā visticamāk nesniegs noderīgu informāciju tiesībaizsardzības iestādēm;</w:t>
      </w:r>
    </w:p>
    <w:p w:rsidR="005043B9" w:rsidRPr="006A34D8" w:rsidP="005043B9" w14:paraId="415C1D14" w14:textId="77777777">
      <w:pPr>
        <w:pStyle w:val="NormalHanging12a"/>
      </w:pPr>
      <w:r w:rsidRPr="006A34D8">
        <w:rPr>
          <w:snapToGrid w:val="0"/>
        </w:rPr>
        <w:t>C.</w:t>
      </w:r>
      <w:r w:rsidRPr="006A34D8">
        <w:rPr>
          <w:snapToGrid w:val="0"/>
        </w:rPr>
        <w:tab/>
      </w:r>
      <w:r w:rsidRPr="006A34D8">
        <w:t xml:space="preserve">tā kā, organizētām noziedznieku un teroristu grupām vervējot un izmantojot bērnus, tiek pārkāptas bērnu </w:t>
      </w:r>
      <w:r w:rsidRPr="006A34D8">
        <w:t>pamattiesības</w:t>
      </w:r>
      <w:r w:rsidRPr="006A34D8">
        <w:t xml:space="preserve">, tostarp aizskarta viņu cieņa, un tas rada nopietnas sekas viņu drošībai un nākotnei; tā kā bērnu neaizsargātība pret vervēšanu, ko veic organizēti noziedzīgi tīkli, izriet no kumulatīviem un savstarpēji saistītiem riska faktoriem, tostarp piederības sajūtas trūkuma, nelabvēlīgas bērnības pieredzes un </w:t>
      </w:r>
      <w:r w:rsidRPr="006A34D8">
        <w:t>psihoemocionālās</w:t>
      </w:r>
      <w:r w:rsidRPr="006A34D8">
        <w:t xml:space="preserve"> veselības problēmām, ko šie tīkli apzināti izmanto; tā kā efektīvai profilaksei ir vajadzīgi integrēti risinājumi, kas ir vērsti uz šiem faktoriem;</w:t>
      </w:r>
    </w:p>
    <w:p w:rsidR="005043B9" w:rsidRPr="006A34D8" w:rsidP="005043B9" w14:paraId="05D4634F" w14:textId="77777777">
      <w:pPr>
        <w:pStyle w:val="NormalHanging12a"/>
      </w:pPr>
      <w:r w:rsidRPr="006A34D8">
        <w:rPr>
          <w:snapToGrid w:val="0"/>
        </w:rPr>
        <w:t>D.</w:t>
      </w:r>
      <w:r w:rsidRPr="006A34D8">
        <w:rPr>
          <w:snapToGrid w:val="0"/>
        </w:rPr>
        <w:tab/>
      </w:r>
      <w:r w:rsidRPr="006A34D8">
        <w:t xml:space="preserve">tā kā bērnu vervēšana, kas agrāk radīja galvenokārt humanitāra rakstura bažas, šobrīd ir </w:t>
      </w:r>
      <w:r w:rsidRPr="006A34D8">
        <w:t>uzskatāma par sistēmisku faktoru, kas veicina organizēto noziedzību, ir iekļāvusies noziedzīgo tīklu darbības modeļos un ir šķērslis mieram, drošībai un attīstībai; tā kā noziedzīgie grupējumi, kas vervē bērnus, apdraud ES drošību, veicina noziedzību un uztur vardarbības un nedrošības ciklus, kas turpinās nākamajās paaudzēs;</w:t>
      </w:r>
    </w:p>
    <w:p w:rsidR="005043B9" w:rsidRPr="006A34D8" w:rsidP="005043B9" w14:paraId="3FF27569" w14:textId="77777777">
      <w:pPr>
        <w:pStyle w:val="NormalHanging12a"/>
      </w:pPr>
      <w:r w:rsidRPr="006A34D8">
        <w:rPr>
          <w:snapToGrid w:val="0"/>
        </w:rPr>
        <w:t>E.</w:t>
      </w:r>
      <w:r w:rsidRPr="006A34D8">
        <w:rPr>
          <w:snapToGrid w:val="0"/>
        </w:rPr>
        <w:tab/>
      </w:r>
      <w:r w:rsidRPr="006A34D8">
        <w:t>tā kā šādu praksi veicina daži tehnoloģiskie sasniegumi, kas var normalizēt un stimulēt noziedzīgu rīcību bērnu vidū;</w:t>
      </w:r>
    </w:p>
    <w:p w:rsidR="005043B9" w:rsidRPr="006A34D8" w:rsidP="005043B9" w14:paraId="538F2153" w14:textId="77777777">
      <w:pPr>
        <w:pStyle w:val="NormalHanging12a"/>
      </w:pPr>
      <w:r w:rsidRPr="006A34D8">
        <w:rPr>
          <w:snapToGrid w:val="0"/>
        </w:rPr>
        <w:t>F.</w:t>
      </w:r>
      <w:r w:rsidRPr="006A34D8">
        <w:rPr>
          <w:snapToGrid w:val="0"/>
        </w:rPr>
        <w:tab/>
      </w:r>
      <w:r w:rsidRPr="006A34D8">
        <w:t>tā kā Eiropola 2024. gadā veiktajā kartēšanā ir identificēts 821 augsta riska noziedzīgais tīkls, kas darbojas ES un kopā rada noziedzīgi gūtus ienākumus, kuri tiek lēsti aptuveni 92–188 miljardu EUR apmērā un ir aptuveni līdzvērtīgi 0,7–1,4% no ES IKP</w:t>
      </w:r>
      <w:r>
        <w:rPr>
          <w:rStyle w:val="FootnoteReference"/>
          <w:color w:val="000000"/>
        </w:rPr>
        <w:footnoteReference w:id="6"/>
      </w:r>
      <w:r w:rsidRPr="006A34D8">
        <w:t>; tā kā nepilngadīgie ir iesaistīti vairāk nekā 70% no nelikumīgām tirgus darbībām, tostarp narkotiku tirdzniecībā, izspiešanā, krāpšanā tiešsaistē, nelikumīgi iegūtu līdzekļu legalizācijā, šaujamieroču nelikumīgā tirdzniecībā un “vardarbības kā pakalpojuma” shēmās, un noziedzīgie tīkli izmanto bērnus no 12 gadu vecuma tādiem uzdevumiem kā narkotiku tirdzniecība uz ielas, skaidras naudas pārvadāšana un narkotiku izņemšana no kravu konteineriem;</w:t>
      </w:r>
    </w:p>
    <w:p w:rsidR="005043B9" w:rsidRPr="006A34D8" w:rsidP="005043B9" w14:paraId="34FE415F" w14:textId="77777777">
      <w:pPr>
        <w:pStyle w:val="NormalHanging12a"/>
        <w:rPr>
          <w:bCs/>
        </w:rPr>
      </w:pPr>
      <w:r w:rsidRPr="006A34D8">
        <w:rPr>
          <w:snapToGrid w:val="0"/>
        </w:rPr>
        <w:t>G.</w:t>
      </w:r>
      <w:r w:rsidRPr="006A34D8">
        <w:rPr>
          <w:snapToGrid w:val="0"/>
        </w:rPr>
        <w:tab/>
      </w:r>
      <w:r w:rsidRPr="006A34D8">
        <w:t>tā kā noziedzīgas organizācijas sistemātiski par mērķi izraugās īpaši neaizsargātus bērnus, it sevišķi bērnus, kas saskaras ar sociālekonomisko atstumtību, priekšlaicīgu mācību pārtraukšanu un ģimenes sairšanu, vai bērnus migrantus, ļaunprātīgi izmantojot viņu ekonomisko nedrošību, sociālo atstumtību un informētības par riskiem trūkumu;</w:t>
      </w:r>
    </w:p>
    <w:p w:rsidR="005043B9" w:rsidRPr="006A34D8" w:rsidP="005043B9" w14:paraId="191EB9A6" w14:textId="77777777">
      <w:pPr>
        <w:pStyle w:val="NormalHanging12a"/>
        <w:rPr>
          <w:bCs/>
        </w:rPr>
      </w:pPr>
      <w:r w:rsidRPr="006A34D8">
        <w:rPr>
          <w:snapToGrid w:val="0"/>
        </w:rPr>
        <w:t>H.</w:t>
      </w:r>
      <w:r w:rsidRPr="006A34D8">
        <w:rPr>
          <w:snapToGrid w:val="0"/>
        </w:rPr>
        <w:tab/>
      </w:r>
      <w:r w:rsidRPr="006A34D8">
        <w:t>tā kā meitenes un jaunas sievietes arvien vairāk iesaistās organizētajā noziedzībā, tomēr krimināltiesību sistēmās viņas bieži vien paliek nepamanītas, un 22% no identificētajiem cilvēku tirdzniecības upuriem Rietumeiropā un Dienvideiropā ir spiesti iesaistīties noziedzīgās darbībās, galvenokārt narkotiku tirdzniecībā;</w:t>
      </w:r>
    </w:p>
    <w:p w:rsidR="005043B9" w:rsidRPr="006A34D8" w:rsidP="005043B9" w14:paraId="4AC4CA81" w14:textId="77777777">
      <w:pPr>
        <w:pStyle w:val="NormalHanging12a"/>
      </w:pPr>
      <w:r w:rsidRPr="006A34D8">
        <w:rPr>
          <w:snapToGrid w:val="0"/>
        </w:rPr>
        <w:t>I.</w:t>
      </w:r>
      <w:r w:rsidRPr="006A34D8">
        <w:rPr>
          <w:snapToGrid w:val="0"/>
        </w:rPr>
        <w:tab/>
      </w:r>
      <w:r w:rsidRPr="006A34D8">
        <w:t xml:space="preserve">tā kā šaujamieroču nelikumīga tirdzniecība un pirotehnikas nelikumīga izmantošana ir veicinājusi noziedzības eskalāciju no zema līmeņa pārkāpumiem uz smagākiem un vardarbīgākiem noziegumiem, kuros iesaistīti nepilngadīgie, tostarp izspiešanu un slepkavībām; tā kā kriminālie vervētāji nepilngadīgajiem var piedāvāt ievērojamus finansiālus stimulus – sākot no dažiem tūkstošiem </w:t>
      </w:r>
      <w:r w:rsidRPr="006A34D8">
        <w:t>euro</w:t>
      </w:r>
      <w:r w:rsidRPr="006A34D8">
        <w:t xml:space="preserve"> līdz pat 20 000 </w:t>
      </w:r>
      <w:r w:rsidRPr="006A34D8">
        <w:t>euro</w:t>
      </w:r>
      <w:r w:rsidRPr="006A34D8">
        <w:t xml:space="preserve"> par slepkavību izdarīšanu;</w:t>
      </w:r>
    </w:p>
    <w:p w:rsidR="005043B9" w:rsidRPr="006A34D8" w:rsidP="005043B9" w14:paraId="7A998F5A" w14:textId="77777777">
      <w:pPr>
        <w:pStyle w:val="NormalHanging12a"/>
      </w:pPr>
      <w:r w:rsidRPr="006A34D8">
        <w:rPr>
          <w:snapToGrid w:val="0"/>
        </w:rPr>
        <w:t>J.</w:t>
      </w:r>
      <w:r w:rsidRPr="006A34D8">
        <w:rPr>
          <w:snapToGrid w:val="0"/>
        </w:rPr>
        <w:tab/>
      </w:r>
      <w:r w:rsidRPr="006A34D8">
        <w:t xml:space="preserve">tā kā ar narkotikām saistīta iebiedēšana un piespiešana ir galvenais veids, kā organizētie noziedzīgie tīkli, izmantojot parādsaistības, </w:t>
      </w:r>
      <w:r w:rsidRPr="006A34D8">
        <w:t>iedraudzināšanu</w:t>
      </w:r>
      <w:r w:rsidRPr="006A34D8">
        <w:t xml:space="preserve"> un vardarbību, vervē un izmanto bērnus; tā kā šādu tīklu darbības pārrobežu raksturs neļauj šīs parādības pienācīgi novērst tikai ar valsts līmeņa rīcību;</w:t>
      </w:r>
    </w:p>
    <w:p w:rsidR="005043B9" w:rsidRPr="006A34D8" w:rsidP="005043B9" w14:paraId="701D5D63" w14:textId="77777777">
      <w:pPr>
        <w:pStyle w:val="NormalHanging12a"/>
      </w:pPr>
      <w:r w:rsidRPr="006A34D8">
        <w:rPr>
          <w:snapToGrid w:val="0"/>
        </w:rPr>
        <w:t>K.</w:t>
      </w:r>
      <w:r w:rsidRPr="006A34D8">
        <w:rPr>
          <w:snapToGrid w:val="0"/>
        </w:rPr>
        <w:tab/>
      </w:r>
      <w:r w:rsidRPr="006A34D8">
        <w:t>tā kā narkotiku tirgu paplašināšanās ir novedusi pie nepilngadīgo iesaistes satraucošos apmēros, par ko liecina straujš svarīgu loģistikas centru, tostarp ostu, izmantošanas pieaugums; tā kā pašreizējās organizētās noziedzības definīcijas saskaņotības trūkums ES dalībvalstīs apgrūtina datu vākšanu un salīdzināmību un tā kā dati par nepilngadīgajiem organizētajā noziedzībā ir ierobežoti, bieži vien neuzticami un gandrīz nesalīdzināmi dažāda kriminālatbildības iestāšanās vecuma un nepietiekamas ziņošanas dēļ;</w:t>
      </w:r>
    </w:p>
    <w:p w:rsidR="005043B9" w:rsidRPr="006A34D8" w:rsidP="005043B9" w14:paraId="31949C2C" w14:textId="77777777">
      <w:pPr>
        <w:pStyle w:val="NormalHanging12a"/>
      </w:pPr>
      <w:r w:rsidRPr="006A34D8">
        <w:rPr>
          <w:snapToGrid w:val="0"/>
        </w:rPr>
        <w:t>L.</w:t>
      </w:r>
      <w:r w:rsidRPr="006A34D8">
        <w:rPr>
          <w:snapToGrid w:val="0"/>
        </w:rPr>
        <w:tab/>
      </w:r>
      <w:r w:rsidRPr="006A34D8">
        <w:t>tā kā nepietiekami ieguldījumi publiskajos pakalpojumos, tostarp profilakses, izglītības un veselības aprūpes pakalpojumos, ir pamatcēloņi tam, ka bērnus vervē organizētās noziedzīgās grupas;</w:t>
      </w:r>
    </w:p>
    <w:p w:rsidR="005043B9" w:rsidRPr="006A34D8" w:rsidP="005043B9" w14:paraId="2D380B8B" w14:textId="77777777">
      <w:pPr>
        <w:pStyle w:val="NormalHanging12a"/>
      </w:pPr>
      <w:r w:rsidRPr="006A34D8">
        <w:rPr>
          <w:snapToGrid w:val="0"/>
        </w:rPr>
        <w:t>M.</w:t>
      </w:r>
      <w:r w:rsidRPr="006A34D8">
        <w:rPr>
          <w:snapToGrid w:val="0"/>
        </w:rPr>
        <w:tab/>
      </w:r>
      <w:r w:rsidRPr="006A34D8">
        <w:t xml:space="preserve">tā kā sadrumstaloti institucionālie risinājumi un nepietiekama bērnu aizsardzības sistēmu, tiesu iestāžu, drošības struktūru un digitālo regulatoru savstarpējā koordinācija rada nepilnības, ko izmanto noziedzīgi grupējumi; tā kā Parlamenta rezolūcijā par </w:t>
      </w:r>
      <w:r w:rsidRPr="006A34D8">
        <w:rPr>
          <w:i/>
          <w:iCs/>
        </w:rPr>
        <w:t>Mehdi</w:t>
      </w:r>
      <w:r w:rsidRPr="006A34D8">
        <w:rPr>
          <w:i/>
          <w:iCs/>
        </w:rPr>
        <w:t xml:space="preserve"> </w:t>
      </w:r>
      <w:r w:rsidRPr="006A34D8">
        <w:rPr>
          <w:i/>
          <w:iCs/>
        </w:rPr>
        <w:t>Kessaci</w:t>
      </w:r>
      <w:r w:rsidRPr="006A34D8">
        <w:t xml:space="preserve"> slepkavību Marseļā tika nosodīta sistemātiska jauniešu vervēšana, ko veic noziedzīgi grupējumi, un tika aicināts uzlabot profilaksi, aizsardzību un kriminālvajāšanu, tostarp sniegt specializētu atbalstu nepilngadīgajiem, lai viņi varētu tikt pasargāti no izmantošanas un no jauna iekļauties sabiedrībā</w:t>
      </w:r>
    </w:p>
    <w:p w:rsidR="005043B9" w:rsidRPr="006A34D8" w:rsidP="005043B9" w14:paraId="5A1F98E1" w14:textId="77777777">
      <w:pPr>
        <w:pStyle w:val="NormalHanging12a"/>
      </w:pPr>
      <w:r w:rsidRPr="006A34D8">
        <w:rPr>
          <w:snapToGrid w:val="0"/>
        </w:rPr>
        <w:t>N.</w:t>
      </w:r>
      <w:r w:rsidRPr="006A34D8">
        <w:rPr>
          <w:snapToGrid w:val="0"/>
        </w:rPr>
        <w:tab/>
      </w:r>
      <w:r w:rsidRPr="006A34D8">
        <w:t xml:space="preserve">tā kā Eiropols 2025. gada aprīlī izveidoja operatīvo darba grupu </w:t>
      </w:r>
      <w:r w:rsidRPr="006A34D8">
        <w:rPr>
          <w:i/>
          <w:iCs/>
        </w:rPr>
        <w:t>GRIMM</w:t>
      </w:r>
      <w:r w:rsidRPr="006A34D8">
        <w:t xml:space="preserve">, ko pārrauga Zviedrija un kas apvieno policijas spēkus no Vācijas, Beļģijas, Dānijas, Somijas, Francijas, Nīderlandes un Norvēģijas, lai koordinētu darbības ar tehnoloģiju uzņēmumiem nolūkā apzināt bērnu vervēšanas mēģinājumus sociālajos medijos un </w:t>
      </w:r>
      <w:r w:rsidRPr="006A34D8">
        <w:t>ziņapmaiņas</w:t>
      </w:r>
      <w:r w:rsidRPr="006A34D8">
        <w:t xml:space="preserve"> platformās;</w:t>
      </w:r>
    </w:p>
    <w:p w:rsidR="005043B9" w:rsidRPr="006A34D8" w:rsidP="005043B9" w14:paraId="0938D139" w14:textId="77777777">
      <w:pPr>
        <w:pStyle w:val="NormalHanging12a"/>
      </w:pPr>
      <w:r w:rsidRPr="006A34D8">
        <w:rPr>
          <w:snapToGrid w:val="0"/>
        </w:rPr>
        <w:t>O.</w:t>
      </w:r>
      <w:r w:rsidRPr="006A34D8">
        <w:rPr>
          <w:snapToGrid w:val="0"/>
        </w:rPr>
        <w:tab/>
      </w:r>
      <w:r w:rsidRPr="006A34D8">
        <w:t xml:space="preserve">tā kā uz pierādījumiem balstītas pieejas, kas izstrādātas, piemēram, ES un </w:t>
      </w:r>
      <w:r w:rsidRPr="006A34D8">
        <w:rPr>
          <w:i/>
          <w:iCs/>
        </w:rPr>
        <w:t>UNODC</w:t>
      </w:r>
      <w:r w:rsidRPr="006A34D8">
        <w:t xml:space="preserve"> projekta </w:t>
      </w:r>
      <w:r w:rsidRPr="006A34D8">
        <w:rPr>
          <w:i/>
          <w:iCs/>
        </w:rPr>
        <w:t xml:space="preserve">STRIVE </w:t>
      </w:r>
      <w:r w:rsidRPr="006A34D8">
        <w:rPr>
          <w:i/>
          <w:iCs/>
        </w:rPr>
        <w:t>Juvenile</w:t>
      </w:r>
      <w:r w:rsidRPr="006A34D8">
        <w:t xml:space="preserve"> ietvaros, liecina par to, cik efektīvi ir preventīvi, starpnozaru, </w:t>
      </w:r>
      <w:r w:rsidRPr="006A34D8">
        <w:t>traumjutīgi</w:t>
      </w:r>
      <w:r w:rsidRPr="006A34D8">
        <w:t xml:space="preserve">, </w:t>
      </w:r>
      <w:r w:rsidRPr="006A34D8">
        <w:t>dzimumvērīgi</w:t>
      </w:r>
      <w:r w:rsidRPr="006A34D8">
        <w:t xml:space="preserve"> un uz bērniem vērsti risinājumi,</w:t>
      </w:r>
    </w:p>
    <w:p w:rsidR="005043B9" w:rsidRPr="006A34D8" w:rsidP="005043B9" w14:paraId="63BF373F" w14:textId="77777777">
      <w:pPr>
        <w:pStyle w:val="NormalHanging12a"/>
      </w:pPr>
      <w:r w:rsidRPr="006A34D8">
        <w:t>1.</w:t>
      </w:r>
      <w:r w:rsidRPr="006A34D8">
        <w:tab/>
        <w:t xml:space="preserve">stingri nosoda bērnu vervēšanu un izmantošanu, ko gan tiešsaistē, gan </w:t>
      </w:r>
      <w:r w:rsidRPr="006A34D8">
        <w:t>bezsaistē</w:t>
      </w:r>
      <w:r w:rsidRPr="006A34D8">
        <w:t xml:space="preserve"> veic visu veidu organizētās noziedzības un teroristu grupas;</w:t>
      </w:r>
    </w:p>
    <w:p w:rsidR="005043B9" w:rsidRPr="006A34D8" w:rsidP="005043B9" w14:paraId="39B746ED" w14:textId="77777777">
      <w:pPr>
        <w:pStyle w:val="NormalHanging12a"/>
        <w:rPr>
          <w:spacing w:val="-2"/>
        </w:rPr>
      </w:pPr>
      <w:r w:rsidRPr="006A34D8">
        <w:t>2.</w:t>
      </w:r>
      <w:r w:rsidRPr="006A34D8">
        <w:tab/>
        <w:t xml:space="preserve">atzīst, ka bērnu vervēšana ir smags noziegums pret bērniem un nopietns cilvēktiesību pārkāpums; uzsver, ka tas kļūst par apdraudējumu, kas skar gan Eiropas Savienības iekšējo, gan ārējo drošību, un ka ir nepieciešama visaptveroša reakcija, kuras centrā ir aizsardzība, agrīna profilakse, tiesību pieejamība un izglītības nepārtrauktība, iekšējās drošības, tieslietu, sociālo un izglītības sistēmu integrēšana, kā arī stratēģijas un pasākumi, kuru mērķis ir stiprināt bērnu aizsardzības vides satvaru gan </w:t>
      </w:r>
      <w:r w:rsidRPr="006A34D8">
        <w:t>bezsaistē</w:t>
      </w:r>
      <w:r w:rsidRPr="006A34D8">
        <w:t>, gan tiešsaistē;</w:t>
      </w:r>
    </w:p>
    <w:p w:rsidR="005043B9" w:rsidRPr="006A34D8" w:rsidP="005043B9" w14:paraId="4728C02C" w14:textId="77777777">
      <w:pPr>
        <w:pStyle w:val="NormalHanging12a"/>
        <w:rPr>
          <w:spacing w:val="-2"/>
        </w:rPr>
      </w:pPr>
      <w:r w:rsidRPr="006A34D8">
        <w:t>3.</w:t>
      </w:r>
      <w:r w:rsidRPr="006A34D8">
        <w:tab/>
        <w:t>atgādina, ka bērns pirmkārt un galvenokārt ir bērns un ka pret viņu būtu attiecīgi jāizturas, un aicina dalībvalstis nodrošināt, ka bērna interesēm vienmēr tiek piešķirta prioritāte;</w:t>
      </w:r>
    </w:p>
    <w:p w:rsidR="005043B9" w:rsidRPr="006A34D8" w:rsidP="005043B9" w14:paraId="01613C2B" w14:textId="77777777">
      <w:pPr>
        <w:pStyle w:val="NormalHanging12a"/>
      </w:pPr>
      <w:r w:rsidRPr="006A34D8">
        <w:t>4.</w:t>
      </w:r>
      <w:r w:rsidRPr="006A34D8">
        <w:tab/>
        <w:t>aicina Komisiju un dalībvalstis gaidāmajā ES rīcības plānā bērnu aizsardzībai pret noziedzību par prioritāru jomu skaidri atzīt organizētās noziedzības un teroristu grupu veiktas bērnu vervēšanas novēršanu un reaģēšanu uz to; aicina šajā rīcības plānā iekļaut īpašu profilakses pīlāru ar agrīnās brīdināšanas mehānismiem, kuros iesaistītas skolas, sociālie dienesti un ģimenes, kā arī uz jauniešiem vērstu pieeju, kas paredz dzīves prasmju attīstīšanu, tieši iesaistot jauniešus kopienas dzīvē;</w:t>
      </w:r>
    </w:p>
    <w:p w:rsidR="005043B9" w:rsidRPr="006A34D8" w:rsidP="005043B9" w14:paraId="0A4DEB7B" w14:textId="77777777">
      <w:pPr>
        <w:pStyle w:val="NormalHanging12a"/>
        <w:rPr>
          <w:spacing w:val="-2"/>
        </w:rPr>
      </w:pPr>
      <w:r w:rsidRPr="006A34D8">
        <w:t>5.</w:t>
      </w:r>
      <w:r w:rsidRPr="006A34D8">
        <w:tab/>
        <w:t>aicina Komisiju arī gaidāmajā tiesību akta priekšlikumā par atjauninātiem noteikumiem cīņai pret organizēto noziedzību iekļaut jautājumu par bērnu vervēšanu, ko veic organizētās noziedzīgās grupas; aicina Komisiju apsvērt iespēju šajā priekšlikumā iekļaut īpašus noteikumus, piemēram, paredzēt vainu pastiprinošus apstākļus saistībā ar bērnu vervēšanu; šajā sakarībā atkārtoti aicina izstrādāt jaunu kopīgu noziedzīgas organizācijas definīciju, kurā ņem vērā arī to, ka noziedzīgie grupējumi izmanto vardarbību, korupciju un iebiedēšanu;</w:t>
      </w:r>
    </w:p>
    <w:p w:rsidR="005043B9" w:rsidRPr="006A34D8" w:rsidP="005043B9" w14:paraId="6A4F8774" w14:textId="77777777">
      <w:pPr>
        <w:pStyle w:val="NormalHanging12a"/>
        <w:rPr>
          <w:spacing w:val="-2"/>
        </w:rPr>
      </w:pPr>
      <w:r w:rsidRPr="006A34D8">
        <w:t>6.</w:t>
      </w:r>
      <w:r w:rsidRPr="006A34D8">
        <w:tab/>
        <w:t>aicina Komisiju pēc iespējas drīzāk publicēt tiesību akta priekšlikumu par ES Pirotehnikas direktīvas</w:t>
      </w:r>
      <w:r>
        <w:rPr>
          <w:rStyle w:val="FootnoteReference"/>
        </w:rPr>
        <w:footnoteReference w:id="7"/>
      </w:r>
      <w:r w:rsidRPr="006A34D8">
        <w:t xml:space="preserve"> pārskatīšanu, lai risinātu jautājumu par pirotehnikas izmantošanu kā ieroci, tostarp pievērstos neaizsargātu jauniešu ekspluatācijai; mudina dalībvalstis pastiprināt sadarbību ar Eiropolu un </w:t>
      </w:r>
      <w:r w:rsidRPr="006A34D8">
        <w:rPr>
          <w:i/>
          <w:iCs/>
        </w:rPr>
        <w:t>Eurojust</w:t>
      </w:r>
      <w:r w:rsidRPr="006A34D8">
        <w:t xml:space="preserve">, jo īpaši attiecībā uz ostām, loģistikas centriem un pilsētu teritorijām, kur dzīvo neaizsargātas kopienas, apmainoties ar </w:t>
      </w:r>
      <w:r w:rsidRPr="006A34D8">
        <w:t>paraugpraksi</w:t>
      </w:r>
      <w:r w:rsidRPr="006A34D8">
        <w:t xml:space="preserve"> un nodrošinot apmācību par aizdomīgu darbību, kurās iesaistīti bērni, identificēšanu un ziņošanu par tām;</w:t>
      </w:r>
    </w:p>
    <w:p w:rsidR="005043B9" w:rsidRPr="006A34D8" w:rsidP="005043B9" w14:paraId="080C5435" w14:textId="77777777">
      <w:pPr>
        <w:pStyle w:val="NormalHanging12a"/>
        <w:rPr>
          <w:spacing w:val="-2"/>
        </w:rPr>
      </w:pPr>
      <w:r w:rsidRPr="006A34D8">
        <w:t>7.</w:t>
      </w:r>
      <w:r w:rsidRPr="006A34D8">
        <w:tab/>
        <w:t xml:space="preserve">aicina Komisiju un dalībvalstis atzīt ar narkotikām saistītu iebiedēšanu par vispāratzītu vervēšanas līdzekli organizētajā noziedzībā; aicina dalībvalstis nodrošināt, ka valstu stratēģijās bērnu vervēšanas novēršanai ir skaidri iekļauta iestāžu kopīga rīcība ar narkotikām saistītas iebiedēšanas apkarošanai, balstoties uz jaunākajiem </w:t>
      </w:r>
      <w:r w:rsidRPr="006A34D8">
        <w:t>paraugprakses</w:t>
      </w:r>
      <w:r w:rsidRPr="006A34D8">
        <w:t xml:space="preserve"> modeļiem;</w:t>
      </w:r>
    </w:p>
    <w:p w:rsidR="005043B9" w:rsidRPr="006A34D8" w:rsidP="005043B9" w14:paraId="5C0735FE" w14:textId="77777777">
      <w:pPr>
        <w:pStyle w:val="NormalHanging12a"/>
        <w:rPr>
          <w:bCs/>
          <w:spacing w:val="-2"/>
        </w:rPr>
      </w:pPr>
      <w:r w:rsidRPr="006A34D8">
        <w:t>8.</w:t>
      </w:r>
      <w:r w:rsidRPr="006A34D8">
        <w:tab/>
        <w:t xml:space="preserve">mudina īstenot pieeju “profilakse vispirms” un ieviest integrētas aizsardzības sistēmas, kas ir vērstas uz bērniem, </w:t>
      </w:r>
      <w:r w:rsidRPr="006A34D8">
        <w:t>dzimumvērīgas</w:t>
      </w:r>
      <w:r w:rsidRPr="006A34D8">
        <w:t xml:space="preserve">, </w:t>
      </w:r>
      <w:r w:rsidRPr="006A34D8">
        <w:t>traumjutīgas</w:t>
      </w:r>
      <w:r w:rsidRPr="006A34D8">
        <w:t xml:space="preserve"> un aptver vairākas nozares, galveno uzmanību pievēršot riskam pakļauto bērnu agrīnai identificēšanai, kopienā balstītiem intervences pasākumiem un ģimeņu un sociālo pakalpojumu stiprināšanai; uzsver sporta, izglītības un kopienu organizāciju pozitīvo lomu drošas, veselīgas un iekļaujošas vides nodrošināšanā;</w:t>
      </w:r>
    </w:p>
    <w:p w:rsidR="005043B9" w:rsidRPr="006A34D8" w:rsidP="005043B9" w14:paraId="1BAF28B8" w14:textId="77777777">
      <w:pPr>
        <w:pStyle w:val="NormalHanging12a"/>
      </w:pPr>
      <w:r w:rsidRPr="006A34D8">
        <w:t>9.</w:t>
      </w:r>
      <w:r w:rsidRPr="006A34D8">
        <w:tab/>
        <w:t xml:space="preserve">uzskata, ka organizētās noziedzības pārrobežu rakstura dēļ pasākumi cietušo aizsardzībai, kas tiek īstenoti tikai valsts līmenī, nav pietiekami bērnu un jauniešu gadījumā; aicina pastiprināt sadarbību starp drošības, tieslietu, bērnu aizsardzības, izglītības un veselības nozarēm, kā arī ar publiskā un privātā sektora partnerībām, lai nodrošinātu integrētus un starpnozaru bērnu aizsardzības vides satvarus gan </w:t>
      </w:r>
      <w:r w:rsidRPr="006A34D8">
        <w:t>bezsaistē</w:t>
      </w:r>
      <w:r w:rsidRPr="006A34D8">
        <w:t>, gan tiešsaistē;</w:t>
      </w:r>
    </w:p>
    <w:p w:rsidR="005043B9" w:rsidRPr="006A34D8" w:rsidP="005043B9" w14:paraId="29B9CD59" w14:textId="77777777">
      <w:pPr>
        <w:pStyle w:val="NormalHanging12a"/>
        <w:rPr>
          <w:spacing w:val="-2"/>
        </w:rPr>
      </w:pPr>
      <w:r w:rsidRPr="006A34D8">
        <w:t>10.</w:t>
      </w:r>
      <w:r w:rsidRPr="006A34D8">
        <w:tab/>
        <w:t xml:space="preserve">uzsver, ka bērnu vervēšanas tiešsaistes dimensija šobrīd ir būtiska organizēto noziedzīgo un teroristu grupu darbības modeļu sastāvdaļa un ka šīs grupas sistemātiski izmanto digitālos pakalpojumus, lai identificētu bērnus, izraudzītos viņus par mērķi, viņus </w:t>
      </w:r>
      <w:r w:rsidRPr="006A34D8">
        <w:t>iedraudzinātu</w:t>
      </w:r>
      <w:r w:rsidRPr="006A34D8">
        <w:t>, manipulētu ar viņiem un piespiestu viņus iesaistīties noziedzīgās un teroristiskās darbībās; uzsver, ka bērnu vervēšana tiešsaistē, ko veic organizētie noziedzīgie tīkli, platformu ierobežotās sadarbības dēļ rada ievērojamas nepilnības izpildē; aicina Komisiju un dalībvalstis nodrošināt, ka platformas izpilda tām pašlaik noteiktos pienākumus;</w:t>
      </w:r>
    </w:p>
    <w:p w:rsidR="005043B9" w:rsidRPr="006A34D8" w:rsidP="005043B9" w14:paraId="58079324" w14:textId="77777777">
      <w:pPr>
        <w:pStyle w:val="NormalHanging12a"/>
      </w:pPr>
      <w:r w:rsidRPr="006A34D8">
        <w:rPr>
          <w:snapToGrid w:val="0"/>
        </w:rPr>
        <w:t>11.</w:t>
      </w:r>
      <w:r w:rsidRPr="006A34D8">
        <w:rPr>
          <w:snapToGrid w:val="0"/>
        </w:rPr>
        <w:tab/>
      </w:r>
      <w:r w:rsidRPr="006A34D8">
        <w:t>aicina Komisiju un dalībvalstis nodrošināt Digitālo pakalpojumu akta stingru, konsekventu un bērna tiesībām atbilstošu izpildi saskaņā ar Komisijas vadlīnijām par nepilngadīgo aizsardzību;</w:t>
      </w:r>
    </w:p>
    <w:p w:rsidR="005043B9" w:rsidRPr="006A34D8" w:rsidP="005043B9" w14:paraId="35A4B4AE" w14:textId="77777777">
      <w:pPr>
        <w:pStyle w:val="NormalHanging12a"/>
      </w:pPr>
      <w:bookmarkStart w:id="8" w:name="_Hlk231893097"/>
      <w:r w:rsidRPr="006A34D8">
        <w:rPr>
          <w:snapToGrid w:val="0"/>
        </w:rPr>
        <w:t>12.</w:t>
      </w:r>
      <w:r w:rsidRPr="006A34D8">
        <w:rPr>
          <w:snapToGrid w:val="0"/>
        </w:rPr>
        <w:tab/>
      </w:r>
      <w:r w:rsidRPr="006A34D8">
        <w:t xml:space="preserve">aicina Komisiju nodrošināt ES digitālās jomas tiesību aktu pilnīgu īstenošanu un vajadzības gadījumā pastiprināt platformu pienākumus vērsties pret bērnu izmantošanu un vervēšanu, kā arī stiprināt nepilngadīgo aizsardzību tiešsaistē, izmantojot gaidāmo Digitālā taisnīguma aktu, novēršot regulējuma nepilnības tādās jomās kā integrēta drošība, vecumam atbilstoši noklusējuma iestatījumi un uz bērniem vērsta </w:t>
      </w:r>
      <w:r w:rsidRPr="006A34D8">
        <w:t>komercprakse</w:t>
      </w:r>
      <w:r w:rsidRPr="006A34D8">
        <w:t xml:space="preserve"> un vienlaikus nodrošinot, ka jaunie pasākumi joprojām ir samērīgi, </w:t>
      </w:r>
      <w:r w:rsidRPr="006A34D8">
        <w:t>balstīti uz pierādījumiem un atbilst plašākam digitālās jomas tiesiskajam regulējumam;</w:t>
      </w:r>
      <w:bookmarkEnd w:id="8"/>
    </w:p>
    <w:p w:rsidR="005043B9" w:rsidRPr="006A34D8" w:rsidP="005043B9" w14:paraId="0AB44092" w14:textId="77777777">
      <w:pPr>
        <w:pStyle w:val="NormalHanging12a"/>
      </w:pPr>
      <w:r w:rsidRPr="006A34D8">
        <w:rPr>
          <w:snapToGrid w:val="0"/>
        </w:rPr>
        <w:t>13.</w:t>
      </w:r>
      <w:r w:rsidRPr="006A34D8">
        <w:rPr>
          <w:snapToGrid w:val="0"/>
        </w:rPr>
        <w:tab/>
      </w:r>
      <w:r w:rsidRPr="006A34D8">
        <w:t xml:space="preserve">uzsver pieaugošos draudus, ko rada noziedzība kā pakalpojums, tostarp vardarbība kā pakalpojums, kā nolūkā jaunieši tiek vervēti tiešsaistē vardarbīgu uzdevumu veikšanai; atzinīgi vērtē Eiropola operatīvās darba grupas </w:t>
      </w:r>
      <w:r w:rsidRPr="006A34D8">
        <w:rPr>
          <w:i/>
          <w:iCs/>
        </w:rPr>
        <w:t>GRIMM</w:t>
      </w:r>
      <w:r w:rsidRPr="006A34D8">
        <w:t xml:space="preserve"> darbību un aicina dalībvalstis, Eiropolu un </w:t>
      </w:r>
      <w:r w:rsidRPr="006A34D8">
        <w:rPr>
          <w:i/>
          <w:iCs/>
        </w:rPr>
        <w:t>Eurojust</w:t>
      </w:r>
      <w:r w:rsidRPr="006A34D8">
        <w:t xml:space="preserve"> pastiprināt kopīgi veiktas izmeklēšanas, kas vērstas pret vervētājiem, kūdītājiem un augsta līmeņa dalībniekiem, nevis ierobežot izpildes darbības, attiecinot tās tikai uz nepilngadīgajiem, kas veic nodarījumus;</w:t>
      </w:r>
    </w:p>
    <w:p w:rsidR="00A36B2E" w:rsidRPr="006A34D8" w:rsidP="005043B9" w14:paraId="40690600" w14:textId="68748E1A">
      <w:pPr>
        <w:pStyle w:val="NormalHanging12a"/>
      </w:pPr>
      <w:r w:rsidRPr="006A34D8">
        <w:rPr>
          <w:snapToGrid w:val="0"/>
        </w:rPr>
        <w:t>14.</w:t>
      </w:r>
      <w:r w:rsidRPr="006A34D8">
        <w:rPr>
          <w:snapToGrid w:val="0"/>
        </w:rPr>
        <w:tab/>
      </w:r>
      <w:r w:rsidRPr="006A34D8">
        <w:t xml:space="preserve">uzsver, ka pret bērniem, kas vervēšanas ceļā ir iesaistīti noziedzīgās darbībās, ir jāizturas saskaņā ar starptautiskajiem standartiem; </w:t>
      </w:r>
      <w:r w:rsidRPr="006A34D8">
        <w:t>atgādina, ka iesaistīšanos vardarbīgās grupās bieži veicina pakāpenisks spiediens un grupu iekšējā dinamika, nevis ideoloģiska piesliešanās tām;</w:t>
      </w:r>
    </w:p>
    <w:p w:rsidR="009127EE" w:rsidRPr="006A34D8" w:rsidP="005043B9" w14:paraId="77010971" w14:textId="4FDCC569">
      <w:pPr>
        <w:pStyle w:val="NormalHanging12a"/>
      </w:pPr>
      <w:r w:rsidRPr="006A34D8">
        <w:t>15.</w:t>
      </w:r>
      <w:r w:rsidRPr="006A34D8">
        <w:tab/>
        <w:t>uzsver, ka vienmēr ir pienācīgi jāņem vērā katra gadījuma konkrētie apstākļi, tostarp iespējamā piespiešana vai izmantošana, kā arī izdarītā noziedzīgā nodarījuma smagums, riska līmenis, ko likumpārkāpējs rada sabiedrības drošībai, un piemērojamie ES un valstu tiesību akti;</w:t>
      </w:r>
    </w:p>
    <w:p w:rsidR="005043B9" w:rsidRPr="006A34D8" w:rsidP="005043B9" w14:paraId="526EC922" w14:textId="0E7E88FC">
      <w:pPr>
        <w:pStyle w:val="NormalHanging12a"/>
      </w:pPr>
      <w:r w:rsidRPr="006A34D8">
        <w:rPr>
          <w:snapToGrid w:val="0"/>
        </w:rPr>
        <w:t>16</w:t>
      </w:r>
      <w:r w:rsidRPr="006A34D8">
        <w:rPr>
          <w:snapToGrid w:val="0"/>
        </w:rPr>
        <w:t>.</w:t>
      </w:r>
      <w:r w:rsidRPr="006A34D8">
        <w:rPr>
          <w:snapToGrid w:val="0"/>
        </w:rPr>
        <w:tab/>
      </w:r>
      <w:r w:rsidRPr="006A34D8">
        <w:t xml:space="preserve">aicina padarīt tiesu sistēmas bērniem draudzīgas, </w:t>
      </w:r>
      <w:r w:rsidRPr="006A34D8">
        <w:t>dzimumvērīgas</w:t>
      </w:r>
      <w:r w:rsidRPr="006A34D8">
        <w:t xml:space="preserve"> un </w:t>
      </w:r>
      <w:r w:rsidRPr="006A34D8">
        <w:t>traumjutīgas</w:t>
      </w:r>
      <w:r w:rsidRPr="006A34D8">
        <w:t xml:space="preserve">, kā arī izstrādāt pielāgotas starpnozaru un </w:t>
      </w:r>
      <w:r w:rsidRPr="006A34D8">
        <w:t>traumjutīgas</w:t>
      </w:r>
      <w:r w:rsidRPr="006A34D8">
        <w:t xml:space="preserve"> reintegrācijas programmas, tostarp nodrošināt piekļuvi izglītībai, </w:t>
      </w:r>
      <w:r w:rsidRPr="006A34D8">
        <w:t>psihoemocionālajam</w:t>
      </w:r>
      <w:r w:rsidRPr="006A34D8">
        <w:t xml:space="preserve"> un </w:t>
      </w:r>
      <w:r w:rsidRPr="006A34D8">
        <w:t>psihosociālajam</w:t>
      </w:r>
      <w:r w:rsidRPr="006A34D8">
        <w:t xml:space="preserve"> atbalstam, kā arī atveseļošanas un rehabilitācijas pakalpojumiem, aizsardzību pret atriebību, tai skaitā cietušo ģimenēm, iespējas atrast pienācīgu darbu un pasākumus, lai novērstu </w:t>
      </w:r>
      <w:r w:rsidRPr="006A34D8">
        <w:t>stigmatizāciju</w:t>
      </w:r>
      <w:r w:rsidRPr="006A34D8">
        <w:t xml:space="preserve"> un atkārtotu vervēšanu; atgādina, ka saskaņā ar Direktīvu (ES) 2016/800 bērna brīvības atņemšana, jo īpaši aizturēšana, būtu jāpiemēro tikai kā galējais līdzeklis un, ja iespējams, dalībvalstu kompetentajām iestādēm būtu jāizmanto alternatīvi pasākumi; norāda, ka dažās dalībvalstīs </w:t>
      </w:r>
      <w:r w:rsidRPr="006A34D8">
        <w:t>koptaisnība</w:t>
      </w:r>
      <w:r w:rsidRPr="006A34D8">
        <w:t xml:space="preserve"> ir izrādījusies efektīva;</w:t>
      </w:r>
    </w:p>
    <w:p w:rsidR="005043B9" w:rsidRPr="006A34D8" w:rsidP="005043B9" w14:paraId="7F270C3E" w14:textId="2759EA6A">
      <w:pPr>
        <w:pStyle w:val="NormalHanging12a"/>
      </w:pPr>
      <w:r w:rsidRPr="006A34D8">
        <w:rPr>
          <w:snapToGrid w:val="0"/>
        </w:rPr>
        <w:t>17</w:t>
      </w:r>
      <w:r w:rsidRPr="006A34D8">
        <w:rPr>
          <w:snapToGrid w:val="0"/>
        </w:rPr>
        <w:t>.</w:t>
      </w:r>
      <w:r w:rsidRPr="006A34D8">
        <w:rPr>
          <w:snapToGrid w:val="0"/>
        </w:rPr>
        <w:tab/>
      </w:r>
      <w:r w:rsidRPr="006A34D8">
        <w:t xml:space="preserve">mudina dalībvalstis uzlabot savietojamu starpnozaru datu, tostarp sadalītu un saskaņotu ES mēroga datu, par bērnu vervēšanu organizētās noziedzības un teroristu grupās, vākšanu un apmaiņu, lai labāk izprastu tendences un riska faktorus; uzsver, ka, vācot, apstrādājot vai kopīgojot datus par bērniem, ir pilnībā jāievēro datu aizsardzības noteikumi un </w:t>
      </w:r>
      <w:r w:rsidRPr="006A34D8">
        <w:t>nediskriminācijas</w:t>
      </w:r>
      <w:r w:rsidRPr="006A34D8">
        <w:t xml:space="preserve"> princips;</w:t>
      </w:r>
    </w:p>
    <w:p w:rsidR="005043B9" w:rsidRPr="006A34D8" w:rsidP="005043B9" w14:paraId="180DA023" w14:textId="3F82A732">
      <w:pPr>
        <w:pStyle w:val="NormalHanging12a"/>
      </w:pPr>
      <w:r w:rsidRPr="006A34D8">
        <w:rPr>
          <w:snapToGrid w:val="0"/>
        </w:rPr>
        <w:t>18</w:t>
      </w:r>
      <w:r w:rsidRPr="006A34D8">
        <w:rPr>
          <w:snapToGrid w:val="0"/>
        </w:rPr>
        <w:t>.</w:t>
      </w:r>
      <w:r w:rsidRPr="006A34D8">
        <w:rPr>
          <w:snapToGrid w:val="0"/>
        </w:rPr>
        <w:tab/>
      </w:r>
      <w:r w:rsidRPr="006A34D8">
        <w:t xml:space="preserve">atbalsta tādu sekmīgu, uz pierādījumiem balstītu iniciatīvu kā ES un </w:t>
      </w:r>
      <w:r w:rsidRPr="006A34D8">
        <w:rPr>
          <w:i/>
          <w:iCs/>
        </w:rPr>
        <w:t>UNODC</w:t>
      </w:r>
      <w:r w:rsidRPr="006A34D8">
        <w:t xml:space="preserve"> projekts</w:t>
      </w:r>
      <w:r w:rsidRPr="006A34D8">
        <w:rPr>
          <w:i/>
          <w:iCs/>
        </w:rPr>
        <w:t xml:space="preserve"> STRIVE </w:t>
      </w:r>
      <w:r w:rsidRPr="006A34D8">
        <w:rPr>
          <w:i/>
          <w:iCs/>
        </w:rPr>
        <w:t>Juvenile</w:t>
      </w:r>
      <w:r w:rsidRPr="006A34D8">
        <w:t xml:space="preserve"> un tā stratēģiskās pēcteces – ES un </w:t>
      </w:r>
      <w:r w:rsidRPr="006A34D8">
        <w:rPr>
          <w:i/>
          <w:iCs/>
        </w:rPr>
        <w:t>UNODC</w:t>
      </w:r>
      <w:r w:rsidRPr="006A34D8">
        <w:t xml:space="preserve"> iniciatīvas </w:t>
      </w:r>
      <w:r w:rsidRPr="006A34D8">
        <w:rPr>
          <w:i/>
          <w:iCs/>
        </w:rPr>
        <w:t>Protecting</w:t>
      </w:r>
      <w:r w:rsidRPr="006A34D8">
        <w:rPr>
          <w:i/>
          <w:iCs/>
        </w:rPr>
        <w:t xml:space="preserve"> </w:t>
      </w:r>
      <w:r w:rsidRPr="006A34D8">
        <w:rPr>
          <w:i/>
          <w:iCs/>
        </w:rPr>
        <w:t>Futures</w:t>
      </w:r>
      <w:r w:rsidRPr="006A34D8">
        <w:t xml:space="preserve"> – izvēršanu, tostarp nestabilās un konfliktu situācijās;</w:t>
      </w:r>
    </w:p>
    <w:p w:rsidR="005043B9" w:rsidRPr="006A34D8" w:rsidP="005043B9" w14:paraId="5DC50AB2" w14:textId="1254F5F8">
      <w:pPr>
        <w:pStyle w:val="NormalHanging12a"/>
      </w:pPr>
      <w:r w:rsidRPr="006A34D8">
        <w:rPr>
          <w:snapToGrid w:val="0"/>
        </w:rPr>
        <w:t>19</w:t>
      </w:r>
      <w:r w:rsidRPr="006A34D8">
        <w:rPr>
          <w:snapToGrid w:val="0"/>
        </w:rPr>
        <w:t>.</w:t>
      </w:r>
      <w:r w:rsidRPr="006A34D8">
        <w:rPr>
          <w:snapToGrid w:val="0"/>
        </w:rPr>
        <w:tab/>
      </w:r>
      <w:r w:rsidRPr="006A34D8">
        <w:t>aicina pastiprināt starptautisko sadarbību ar partnervalstīm, lai vērstos pret pārrobežu vervēšanas tīkliem un nepieļautu, ka noziedzīga bērnu izmantošana tiek īstenota citās valstīs;</w:t>
      </w:r>
    </w:p>
    <w:p w:rsidR="005043B9" w:rsidRPr="006A34D8" w:rsidP="005043B9" w14:paraId="6B384067" w14:textId="606CE589">
      <w:pPr>
        <w:pStyle w:val="NormalHanging12a"/>
      </w:pPr>
      <w:r w:rsidRPr="006A34D8">
        <w:rPr>
          <w:snapToGrid w:val="0"/>
        </w:rPr>
        <w:t>20</w:t>
      </w:r>
      <w:r w:rsidRPr="006A34D8">
        <w:rPr>
          <w:snapToGrid w:val="0"/>
        </w:rPr>
        <w:t>.</w:t>
      </w:r>
      <w:r w:rsidRPr="006A34D8">
        <w:rPr>
          <w:snapToGrid w:val="0"/>
        </w:rPr>
        <w:tab/>
      </w:r>
      <w:r w:rsidRPr="006A34D8">
        <w:t>uzsver, ka šādas sadarbības ietvaros sevišķa uzmanība ir jāpievērš īpaši neaizsargātiem bērniem, tostarp nepavadītiem bērniem un bērniem migrantiem, un jānodrošina piekļuve drošiem ziņošanas kanāliem, aizbildnībai, juridiskajai palīdzībai un uz tiesībām balstītiem pārrobežu bērnu aizsardzības mehānismiem;</w:t>
      </w:r>
    </w:p>
    <w:p w:rsidR="005043B9" w:rsidRPr="006A34D8" w:rsidP="005043B9" w14:paraId="680BA547" w14:textId="4CAEACAF">
      <w:pPr>
        <w:pStyle w:val="NormalHanging12a"/>
      </w:pPr>
      <w:r w:rsidRPr="006A34D8">
        <w:rPr>
          <w:snapToGrid w:val="0"/>
        </w:rPr>
        <w:t>21</w:t>
      </w:r>
      <w:r w:rsidRPr="006A34D8">
        <w:rPr>
          <w:snapToGrid w:val="0"/>
        </w:rPr>
        <w:t>.</w:t>
      </w:r>
      <w:r w:rsidRPr="006A34D8">
        <w:rPr>
          <w:snapToGrid w:val="0"/>
        </w:rPr>
        <w:tab/>
      </w:r>
      <w:r w:rsidRPr="006A34D8">
        <w:t xml:space="preserve">uzsver, ka ir svarīgi novērst pamatcēloņus, tostarp nabadzību, nevienlīdzību, atstumtību, izglītības trūkumu un saskari ar vardarbību, kā arī nepietiekamus ieguldījumus sabiedriskajos pakalpojumos; aicina Komisiju un dalībvalstis palielināt finansiālo atbalstu pilsoniskās sabiedrības organizācijām, kopienā balstītām iniciatīvām, sporta </w:t>
      </w:r>
      <w:r w:rsidRPr="006A34D8">
        <w:t>apvienībām un izglītības programmām teritorijās, kurās ir visaugstākais vervēšanas organizētajā noziedzībā risks, piedāvājot efektīvas alternatīvas iesaistei noziedzībā;</w:t>
      </w:r>
    </w:p>
    <w:p w:rsidR="005043B9" w:rsidRPr="006A34D8" w:rsidP="005043B9" w14:paraId="21D08A5C" w14:textId="64238F56">
      <w:pPr>
        <w:pStyle w:val="NormalHanging12a"/>
      </w:pPr>
      <w:r w:rsidRPr="006A34D8">
        <w:rPr>
          <w:snapToGrid w:val="0"/>
        </w:rPr>
        <w:t>22</w:t>
      </w:r>
      <w:r w:rsidRPr="006A34D8">
        <w:rPr>
          <w:snapToGrid w:val="0"/>
        </w:rPr>
        <w:t>.</w:t>
      </w:r>
      <w:r w:rsidRPr="006A34D8">
        <w:rPr>
          <w:snapToGrid w:val="0"/>
        </w:rPr>
        <w:tab/>
      </w:r>
      <w:r w:rsidRPr="006A34D8">
        <w:t xml:space="preserve">pauž īpašas bažas par to, ka organizētie noziedzīgie tīkli nesamērīgi izraugās par mērķi meitenes un jaunas sievietes, tostarp ar </w:t>
      </w:r>
      <w:r w:rsidRPr="006A34D8">
        <w:t>iedraudzināšanu</w:t>
      </w:r>
      <w:r w:rsidRPr="006A34D8">
        <w:t xml:space="preserve">, lai viņas izmantotu, tai skaitā seksuāli, kā arī iesaistītu cilvēku tirdzniecībā; uzsver, ka meitenes saskaras ar īpašiem šķēršļiem centienos izvairīties no noziedzīga spiediena un piekļūt tiesu iestādēm, atbalstam atlabšanas procesā un reintegrācijai sabiedrībā, un aicina dalībvalstis nodrošināt, ka visi novēršanas, aizsardzības un atbalsta pasākumi ir </w:t>
      </w:r>
      <w:r w:rsidRPr="006A34D8">
        <w:t>dzimumvērīgi</w:t>
      </w:r>
      <w:r w:rsidRPr="006A34D8">
        <w:t xml:space="preserve"> un īpaši vērsti uz meiteņu neaizsargātību un vajadzībām; šajā sakarībā atgādina par pienākumiem, kas noteikti Cilvēku tirdzniecības apkarošanas direktīvā</w:t>
      </w:r>
      <w:r>
        <w:rPr>
          <w:rStyle w:val="FootnoteReference"/>
        </w:rPr>
        <w:footnoteReference w:id="8"/>
      </w:r>
      <w:r w:rsidRPr="006A34D8">
        <w:t>;</w:t>
      </w:r>
    </w:p>
    <w:p w:rsidR="005043B9" w:rsidRPr="006A34D8" w:rsidP="005043B9" w14:paraId="58589EAC" w14:textId="0C2E30C9">
      <w:pPr>
        <w:pStyle w:val="NormalHanging12a"/>
      </w:pPr>
      <w:r w:rsidRPr="006A34D8">
        <w:rPr>
          <w:snapToGrid w:val="0"/>
        </w:rPr>
        <w:t>23</w:t>
      </w:r>
      <w:r w:rsidRPr="006A34D8">
        <w:rPr>
          <w:snapToGrid w:val="0"/>
        </w:rPr>
        <w:t>.</w:t>
      </w:r>
      <w:r w:rsidRPr="006A34D8">
        <w:rPr>
          <w:snapToGrid w:val="0"/>
        </w:rPr>
        <w:tab/>
      </w:r>
      <w:r w:rsidRPr="006A34D8">
        <w:t xml:space="preserve">aicina Komisiju un dalībvalstis no attiecīgajām ES programmām piešķirt pietiekamu finansējumu, lai novērstu bērnu vervēšanu, ko veic organizētas noziedzīgas un teroristu grupas, un efektīvi reaģētu uz to, un jo īpaši atbalstīt 116 000 pazudušu bērnu palīdzības tālruņa tīklu kā nozīmīgu </w:t>
      </w:r>
      <w:r w:rsidRPr="006A34D8">
        <w:t>daudzaģentūru</w:t>
      </w:r>
      <w:r w:rsidRPr="006A34D8">
        <w:t xml:space="preserve"> </w:t>
      </w:r>
      <w:r w:rsidRPr="006A34D8">
        <w:t>partnerstruktūru</w:t>
      </w:r>
      <w:r w:rsidRPr="006A34D8">
        <w:t xml:space="preserve"> apdraudēto bērnu identificēšanai;</w:t>
      </w:r>
    </w:p>
    <w:p w:rsidR="008D57F3" w:rsidRPr="006A34D8" w:rsidP="008D57F3" w14:paraId="5ACC0F9D" w14:textId="63124D22">
      <w:pPr>
        <w:pStyle w:val="NormalHanging12a"/>
      </w:pPr>
      <w:r w:rsidRPr="006A34D8">
        <w:rPr>
          <w:snapToGrid w:val="0"/>
        </w:rPr>
        <w:t>24</w:t>
      </w:r>
      <w:r w:rsidRPr="006A34D8" w:rsidR="005043B9">
        <w:rPr>
          <w:snapToGrid w:val="0"/>
        </w:rPr>
        <w:t>.</w:t>
      </w:r>
      <w:r w:rsidRPr="006A34D8" w:rsidR="005043B9">
        <w:rPr>
          <w:snapToGrid w:val="0"/>
        </w:rPr>
        <w:tab/>
      </w:r>
      <w:r w:rsidRPr="006A34D8" w:rsidR="005043B9">
        <w:t>uzdod priekšsēdētājai šo rezolūciju nosūtīt Padomei, Komisijai, dalībvalstu valdībām un parlamentiem, Eiropolam un Apvienoto Nāciju Organizācijas Narkotiku un noziedzības novēršanas birojam.</w:t>
      </w:r>
    </w:p>
    <w:p w:rsidR="00E365E1" w:rsidRPr="006A34D8" w:rsidP="00EE6637" w14:paraId="4DDA6562" w14:textId="39542936"/>
    <w:sectPr w:rsidSect="008D57F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E6637" w:rsidRPr="008D57F3" w14:paraId="670BC2DD" w14:textId="77777777">
      <w:r w:rsidRPr="008D57F3">
        <w:separator/>
      </w:r>
    </w:p>
  </w:footnote>
  <w:footnote w:type="continuationSeparator" w:id="1">
    <w:p w:rsidR="00EE6637" w:rsidRPr="008D57F3" w14:paraId="24F285CE" w14:textId="77777777">
      <w:r w:rsidRPr="008D57F3">
        <w:continuationSeparator/>
      </w:r>
    </w:p>
  </w:footnote>
  <w:footnote w:id="2">
    <w:p w:rsidR="005043B9" w:rsidRPr="008D57F3" w:rsidP="008D57F3" w14:paraId="49392F38" w14:textId="5DE2F8F8">
      <w:pPr>
        <w:pStyle w:val="FootnoteText"/>
        <w:ind w:left="567" w:hanging="567"/>
        <w:rPr>
          <w:sz w:val="24"/>
          <w:lang w:val="lv-LV"/>
        </w:rPr>
      </w:pPr>
      <w:r w:rsidRPr="008D57F3">
        <w:rPr>
          <w:rStyle w:val="FootnoteReference"/>
          <w:sz w:val="24"/>
          <w:lang w:val="lv-LV"/>
        </w:rPr>
        <w:footnoteRef/>
      </w:r>
      <w:r w:rsidRPr="008D57F3" w:rsidR="008D57F3">
        <w:rPr>
          <w:sz w:val="24"/>
          <w:lang w:val="lv-LV"/>
        </w:rPr>
        <w:t xml:space="preserve"> </w:t>
      </w:r>
      <w:r w:rsidRPr="008D57F3" w:rsidR="008D57F3">
        <w:rPr>
          <w:sz w:val="24"/>
          <w:lang w:val="lv-LV"/>
        </w:rPr>
        <w:tab/>
      </w:r>
      <w:r w:rsidRPr="008D57F3">
        <w:rPr>
          <w:sz w:val="24"/>
          <w:lang w:val="lv-LV"/>
        </w:rPr>
        <w:t xml:space="preserve">OV L 277, 27.10.2022., 1. lpp., ELI: </w:t>
      </w:r>
      <w:hyperlink r:id="rId1" w:history="1">
        <w:r w:rsidRPr="008D57F3">
          <w:rPr>
            <w:rStyle w:val="Hyperlink"/>
            <w:sz w:val="24"/>
            <w:lang w:val="lv-LV"/>
          </w:rPr>
          <w:t>http://data.europa.eu/eli/reg/2022/2065/oj</w:t>
        </w:r>
      </w:hyperlink>
      <w:r w:rsidRPr="008D57F3">
        <w:rPr>
          <w:sz w:val="24"/>
          <w:lang w:val="lv-LV"/>
        </w:rPr>
        <w:t>.</w:t>
      </w:r>
    </w:p>
  </w:footnote>
  <w:footnote w:id="3">
    <w:p w:rsidR="005043B9" w:rsidRPr="008D57F3" w:rsidP="008D57F3" w14:paraId="31D5433F" w14:textId="3B2599F6">
      <w:pPr>
        <w:pStyle w:val="FootnoteText"/>
        <w:ind w:left="567" w:hanging="567"/>
        <w:rPr>
          <w:sz w:val="24"/>
          <w:lang w:val="lv-LV"/>
        </w:rPr>
      </w:pPr>
      <w:r w:rsidRPr="008D57F3">
        <w:rPr>
          <w:rStyle w:val="FootnoteReference"/>
          <w:sz w:val="24"/>
          <w:szCs w:val="16"/>
          <w:lang w:val="lv-LV"/>
        </w:rPr>
        <w:footnoteRef/>
      </w:r>
      <w:r w:rsidRPr="008D57F3" w:rsidR="008D57F3">
        <w:rPr>
          <w:sz w:val="24"/>
          <w:lang w:val="lv-LV"/>
        </w:rPr>
        <w:t xml:space="preserve"> </w:t>
      </w:r>
      <w:r w:rsidRPr="008D57F3" w:rsidR="008D57F3">
        <w:rPr>
          <w:sz w:val="24"/>
          <w:lang w:val="lv-LV"/>
        </w:rPr>
        <w:tab/>
      </w:r>
      <w:r w:rsidRPr="008D57F3">
        <w:rPr>
          <w:sz w:val="24"/>
          <w:lang w:val="lv-LV"/>
        </w:rPr>
        <w:t xml:space="preserve">OV C, C/2025/5519, 10.10.2025., ELI: </w:t>
      </w:r>
      <w:hyperlink r:id="rId2" w:history="1">
        <w:r w:rsidRPr="008D57F3">
          <w:rPr>
            <w:rStyle w:val="Hyperlink"/>
            <w:sz w:val="24"/>
            <w:lang w:val="lv-LV"/>
          </w:rPr>
          <w:t>http://data.europa.eu/eli/C/2025/5519/oj</w:t>
        </w:r>
      </w:hyperlink>
      <w:r w:rsidRPr="008D57F3">
        <w:rPr>
          <w:sz w:val="24"/>
          <w:lang w:val="lv-LV"/>
        </w:rPr>
        <w:t xml:space="preserve">. </w:t>
      </w:r>
    </w:p>
  </w:footnote>
  <w:footnote w:id="4">
    <w:p w:rsidR="005043B9" w:rsidRPr="008D57F3" w:rsidP="008D57F3" w14:paraId="5D81A1CD" w14:textId="338C842C">
      <w:pPr>
        <w:pStyle w:val="FootnoteText"/>
        <w:ind w:left="567" w:hanging="567"/>
        <w:rPr>
          <w:sz w:val="24"/>
          <w:lang w:val="lv-LV"/>
        </w:rPr>
      </w:pPr>
      <w:r w:rsidRPr="008D57F3">
        <w:rPr>
          <w:rStyle w:val="FootnoteReference"/>
          <w:sz w:val="24"/>
          <w:lang w:val="lv-LV"/>
        </w:rPr>
        <w:footnoteRef/>
      </w:r>
      <w:r w:rsidRPr="008D57F3" w:rsidR="008D57F3">
        <w:rPr>
          <w:sz w:val="24"/>
          <w:lang w:val="lv-LV"/>
        </w:rPr>
        <w:t xml:space="preserve"> </w:t>
      </w:r>
      <w:r w:rsidRPr="008D57F3" w:rsidR="008D57F3">
        <w:rPr>
          <w:sz w:val="24"/>
          <w:lang w:val="lv-LV"/>
        </w:rPr>
        <w:tab/>
      </w:r>
      <w:r w:rsidRPr="008D57F3">
        <w:rPr>
          <w:sz w:val="24"/>
          <w:lang w:val="lv-LV"/>
        </w:rPr>
        <w:t>Pieņemtie teksti, P10_TA(2026)0007.</w:t>
      </w:r>
    </w:p>
  </w:footnote>
  <w:footnote w:id="5">
    <w:p w:rsidR="005043B9" w:rsidRPr="008D57F3" w:rsidP="008D57F3" w14:paraId="51290E1D" w14:textId="065CE63E">
      <w:pPr>
        <w:pStyle w:val="FootnoteText"/>
        <w:ind w:left="567" w:hanging="567"/>
        <w:rPr>
          <w:sz w:val="24"/>
          <w:lang w:val="lv-LV"/>
        </w:rPr>
      </w:pPr>
      <w:r w:rsidRPr="008D57F3">
        <w:rPr>
          <w:rStyle w:val="FootnoteReference"/>
          <w:sz w:val="24"/>
          <w:lang w:val="lv-LV"/>
        </w:rPr>
        <w:footnoteRef/>
      </w:r>
      <w:r w:rsidRPr="008D57F3" w:rsidR="008D57F3">
        <w:rPr>
          <w:sz w:val="24"/>
          <w:lang w:val="lv-LV"/>
        </w:rPr>
        <w:t xml:space="preserve"> </w:t>
      </w:r>
      <w:r w:rsidRPr="008D57F3" w:rsidR="008D57F3">
        <w:rPr>
          <w:sz w:val="24"/>
          <w:lang w:val="lv-LV"/>
        </w:rPr>
        <w:tab/>
      </w:r>
      <w:r w:rsidRPr="008D57F3">
        <w:rPr>
          <w:sz w:val="24"/>
          <w:lang w:val="lv-LV"/>
        </w:rPr>
        <w:t xml:space="preserve">OV L 132, 21.5.2016., 1. lpp., ELI: </w:t>
      </w:r>
      <w:hyperlink r:id="rId3" w:history="1">
        <w:r w:rsidRPr="008D57F3">
          <w:rPr>
            <w:rStyle w:val="Hyperlink"/>
            <w:sz w:val="24"/>
            <w:lang w:val="lv-LV"/>
          </w:rPr>
          <w:t>http://data.europa.eu/eli/dir/2016/800/oj</w:t>
        </w:r>
      </w:hyperlink>
      <w:r w:rsidRPr="008D57F3">
        <w:rPr>
          <w:sz w:val="24"/>
          <w:lang w:val="lv-LV"/>
        </w:rPr>
        <w:t>.</w:t>
      </w:r>
    </w:p>
  </w:footnote>
  <w:footnote w:id="6">
    <w:p w:rsidR="005043B9" w:rsidRPr="008D57F3" w:rsidP="008D57F3" w14:paraId="2F0F43CE" w14:textId="64E42904">
      <w:pPr>
        <w:pStyle w:val="FootnoteText"/>
        <w:ind w:left="567" w:hanging="567"/>
        <w:rPr>
          <w:sz w:val="24"/>
          <w:lang w:val="lv-LV"/>
        </w:rPr>
      </w:pPr>
      <w:r w:rsidRPr="008D57F3">
        <w:rPr>
          <w:rStyle w:val="FootnoteReference"/>
          <w:sz w:val="24"/>
          <w:lang w:val="lv-LV"/>
        </w:rPr>
        <w:footnoteRef/>
      </w:r>
      <w:r w:rsidRPr="008D57F3" w:rsidR="008D57F3">
        <w:rPr>
          <w:sz w:val="24"/>
          <w:lang w:val="lv-LV"/>
        </w:rPr>
        <w:t xml:space="preserve"> </w:t>
      </w:r>
      <w:r w:rsidRPr="008D57F3" w:rsidR="008D57F3">
        <w:rPr>
          <w:sz w:val="24"/>
          <w:lang w:val="lv-LV"/>
        </w:rPr>
        <w:tab/>
      </w:r>
      <w:r w:rsidRPr="008D57F3">
        <w:rPr>
          <w:sz w:val="24"/>
          <w:lang w:val="lv-LV"/>
        </w:rPr>
        <w:t xml:space="preserve">Eiropola 2024. gada 4. aprīļa ziņojums </w:t>
      </w:r>
      <w:hyperlink r:id="rId4" w:tgtFrame="_blank" w:history="1">
        <w:r w:rsidRPr="008D57F3">
          <w:rPr>
            <w:rStyle w:val="Hyperlink"/>
            <w:sz w:val="24"/>
            <w:lang w:val="lv-LV"/>
          </w:rPr>
          <w:t>Decoding</w:t>
        </w:r>
        <w:r w:rsidRPr="008D57F3">
          <w:rPr>
            <w:rStyle w:val="Hyperlink"/>
            <w:sz w:val="24"/>
            <w:lang w:val="lv-LV"/>
          </w:rPr>
          <w:t xml:space="preserve"> </w:t>
        </w:r>
        <w:r w:rsidRPr="008D57F3">
          <w:rPr>
            <w:rStyle w:val="Hyperlink"/>
            <w:sz w:val="24"/>
            <w:lang w:val="lv-LV"/>
          </w:rPr>
          <w:t>the</w:t>
        </w:r>
        <w:r w:rsidRPr="008D57F3">
          <w:rPr>
            <w:rStyle w:val="Hyperlink"/>
            <w:sz w:val="24"/>
            <w:lang w:val="lv-LV"/>
          </w:rPr>
          <w:t xml:space="preserve"> </w:t>
        </w:r>
        <w:r w:rsidRPr="008D57F3">
          <w:rPr>
            <w:rStyle w:val="Hyperlink"/>
            <w:sz w:val="24"/>
            <w:lang w:val="lv-LV"/>
          </w:rPr>
          <w:t>EU’s</w:t>
        </w:r>
        <w:r w:rsidRPr="008D57F3">
          <w:rPr>
            <w:rStyle w:val="Hyperlink"/>
            <w:sz w:val="24"/>
            <w:lang w:val="lv-LV"/>
          </w:rPr>
          <w:t xml:space="preserve"> </w:t>
        </w:r>
        <w:r w:rsidRPr="008D57F3">
          <w:rPr>
            <w:rStyle w:val="Hyperlink"/>
            <w:sz w:val="24"/>
            <w:lang w:val="lv-LV"/>
          </w:rPr>
          <w:t>most</w:t>
        </w:r>
        <w:r w:rsidRPr="008D57F3">
          <w:rPr>
            <w:rStyle w:val="Hyperlink"/>
            <w:sz w:val="24"/>
            <w:lang w:val="lv-LV"/>
          </w:rPr>
          <w:t xml:space="preserve"> </w:t>
        </w:r>
        <w:r w:rsidRPr="008D57F3">
          <w:rPr>
            <w:rStyle w:val="Hyperlink"/>
            <w:sz w:val="24"/>
            <w:lang w:val="lv-LV"/>
          </w:rPr>
          <w:t>threatening</w:t>
        </w:r>
        <w:r w:rsidRPr="008D57F3">
          <w:rPr>
            <w:rStyle w:val="Hyperlink"/>
            <w:sz w:val="24"/>
            <w:lang w:val="lv-LV"/>
          </w:rPr>
          <w:t xml:space="preserve"> </w:t>
        </w:r>
        <w:r w:rsidRPr="008D57F3">
          <w:rPr>
            <w:rStyle w:val="Hyperlink"/>
            <w:sz w:val="24"/>
            <w:lang w:val="lv-LV"/>
          </w:rPr>
          <w:t>criminal</w:t>
        </w:r>
        <w:r w:rsidRPr="008D57F3">
          <w:rPr>
            <w:rStyle w:val="Hyperlink"/>
            <w:sz w:val="24"/>
            <w:lang w:val="lv-LV"/>
          </w:rPr>
          <w:t xml:space="preserve"> </w:t>
        </w:r>
        <w:r w:rsidRPr="008D57F3">
          <w:rPr>
            <w:rStyle w:val="Hyperlink"/>
            <w:sz w:val="24"/>
            <w:lang w:val="lv-LV"/>
          </w:rPr>
          <w:t>networks</w:t>
        </w:r>
      </w:hyperlink>
      <w:r w:rsidRPr="008D57F3">
        <w:rPr>
          <w:sz w:val="24"/>
          <w:lang w:val="lv-LV"/>
        </w:rPr>
        <w:t xml:space="preserve"> (“ES bīstamāko noziedzīgo tīklu struktūras analīze”), atjaunināts 2026. gada maijā.</w:t>
      </w:r>
    </w:p>
  </w:footnote>
  <w:footnote w:id="7">
    <w:p w:rsidR="005043B9" w:rsidRPr="008D57F3" w:rsidP="008D57F3" w14:paraId="77A9046F" w14:textId="2F283EE7">
      <w:pPr>
        <w:pStyle w:val="FootnoteText"/>
        <w:ind w:left="567" w:hanging="567"/>
        <w:rPr>
          <w:sz w:val="24"/>
          <w:lang w:val="lv-LV"/>
        </w:rPr>
      </w:pPr>
      <w:r w:rsidRPr="008D57F3">
        <w:rPr>
          <w:rStyle w:val="FootnoteReference"/>
          <w:sz w:val="24"/>
          <w:lang w:val="lv-LV"/>
        </w:rPr>
        <w:footnoteRef/>
      </w:r>
      <w:r w:rsidRPr="008D57F3" w:rsidR="008D57F3">
        <w:rPr>
          <w:sz w:val="24"/>
          <w:lang w:val="lv-LV"/>
        </w:rPr>
        <w:t xml:space="preserve"> </w:t>
      </w:r>
      <w:r w:rsidRPr="008D57F3" w:rsidR="008D57F3">
        <w:rPr>
          <w:sz w:val="24"/>
          <w:lang w:val="lv-LV"/>
        </w:rPr>
        <w:tab/>
      </w:r>
      <w:r w:rsidRPr="008D57F3">
        <w:rPr>
          <w:sz w:val="24"/>
          <w:lang w:val="lv-LV"/>
        </w:rPr>
        <w:t xml:space="preserve">Eiropas Parlamenta un Padomes Direktīva 2013/29/ES ( 2013. gada 12. jūnijs ) par dalībvalstu tiesību aktu saskaņošanu attiecībā uz pirotehnisko izstrādājumu pieejamību tirgū,  ( OV L 178, 28.6.2013., 27. lpp., ELI: </w:t>
      </w:r>
      <w:hyperlink r:id="rId5" w:history="1">
        <w:r w:rsidRPr="008D57F3">
          <w:rPr>
            <w:rStyle w:val="Hyperlink"/>
            <w:sz w:val="24"/>
            <w:lang w:val="lv-LV"/>
          </w:rPr>
          <w:t>http://data.europa.eu/eli/dir/2013/29/oj</w:t>
        </w:r>
      </w:hyperlink>
      <w:r w:rsidRPr="008D57F3">
        <w:rPr>
          <w:sz w:val="24"/>
          <w:lang w:val="lv-LV"/>
        </w:rPr>
        <w:t>).</w:t>
      </w:r>
    </w:p>
  </w:footnote>
  <w:footnote w:id="8">
    <w:p w:rsidR="005043B9" w:rsidRPr="008D57F3" w:rsidP="008D57F3" w14:paraId="2A1C04EC" w14:textId="0193F9A4">
      <w:pPr>
        <w:pStyle w:val="FootnoteText"/>
        <w:ind w:left="567" w:hanging="567"/>
        <w:rPr>
          <w:sz w:val="24"/>
          <w:lang w:val="lv-LV"/>
        </w:rPr>
      </w:pPr>
      <w:r w:rsidRPr="008D57F3">
        <w:rPr>
          <w:rStyle w:val="FootnoteReference"/>
          <w:sz w:val="24"/>
          <w:lang w:val="lv-LV"/>
        </w:rPr>
        <w:footnoteRef/>
      </w:r>
      <w:r w:rsidRPr="008D57F3" w:rsidR="008D57F3">
        <w:rPr>
          <w:sz w:val="24"/>
          <w:lang w:val="lv-LV"/>
        </w:rPr>
        <w:t xml:space="preserve"> </w:t>
      </w:r>
      <w:r w:rsidRPr="008D57F3" w:rsidR="008D57F3">
        <w:rPr>
          <w:sz w:val="24"/>
          <w:lang w:val="lv-LV"/>
        </w:rPr>
        <w:tab/>
      </w:r>
      <w:r w:rsidRPr="008D57F3">
        <w:rPr>
          <w:sz w:val="24"/>
          <w:lang w:val="lv-LV"/>
        </w:rPr>
        <w:t xml:space="preserve">Eiropas Parlamenta un Padomes Direktīva (ES) 2024/1712 (2024. gada 13. jūnijs), ar ko groza Direktīvu 2011/36/ES par cilvēku tirdzniecības novēršanu un apkarošanu un cietušo aizsardzību, (OV L, 2024/1712, 24.6.2024., ELI: </w:t>
      </w:r>
      <w:hyperlink r:id="rId6" w:history="1">
        <w:r w:rsidRPr="008D57F3">
          <w:rPr>
            <w:rStyle w:val="Hyperlink"/>
            <w:sz w:val="24"/>
            <w:lang w:val="lv-LV"/>
          </w:rPr>
          <w:t>http://data.europa.eu/eli/dir/2024/1712/oj</w:t>
        </w:r>
      </w:hyperlink>
      <w:r w:rsidRPr="008D57F3">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1020106">
    <w:abstractNumId w:val="9"/>
  </w:num>
  <w:num w:numId="2" w16cid:durableId="1317689080">
    <w:abstractNumId w:val="9"/>
  </w:num>
  <w:num w:numId="3" w16cid:durableId="836305592">
    <w:abstractNumId w:val="7"/>
  </w:num>
  <w:num w:numId="4" w16cid:durableId="254948312">
    <w:abstractNumId w:val="7"/>
  </w:num>
  <w:num w:numId="5" w16cid:durableId="1730104062">
    <w:abstractNumId w:val="6"/>
  </w:num>
  <w:num w:numId="6" w16cid:durableId="2113092157">
    <w:abstractNumId w:val="6"/>
  </w:num>
  <w:num w:numId="7" w16cid:durableId="2048017991">
    <w:abstractNumId w:val="5"/>
  </w:num>
  <w:num w:numId="8" w16cid:durableId="375592478">
    <w:abstractNumId w:val="5"/>
  </w:num>
  <w:num w:numId="9" w16cid:durableId="1914774067">
    <w:abstractNumId w:val="4"/>
  </w:num>
  <w:num w:numId="10" w16cid:durableId="1445535361">
    <w:abstractNumId w:val="4"/>
  </w:num>
  <w:num w:numId="11" w16cid:durableId="1032728706">
    <w:abstractNumId w:val="8"/>
  </w:num>
  <w:num w:numId="12" w16cid:durableId="441463906">
    <w:abstractNumId w:val="8"/>
  </w:num>
  <w:num w:numId="13" w16cid:durableId="1908764471">
    <w:abstractNumId w:val="3"/>
  </w:num>
  <w:num w:numId="14" w16cid:durableId="1609459964">
    <w:abstractNumId w:val="3"/>
  </w:num>
  <w:num w:numId="15" w16cid:durableId="658731310">
    <w:abstractNumId w:val="2"/>
  </w:num>
  <w:num w:numId="16" w16cid:durableId="1049064494">
    <w:abstractNumId w:val="2"/>
  </w:num>
  <w:num w:numId="17" w16cid:durableId="702906227">
    <w:abstractNumId w:val="1"/>
  </w:num>
  <w:num w:numId="18" w16cid:durableId="1720475809">
    <w:abstractNumId w:val="1"/>
  </w:num>
  <w:num w:numId="19" w16cid:durableId="169373516">
    <w:abstractNumId w:val="0"/>
  </w:num>
  <w:num w:numId="20" w16cid:durableId="809248950">
    <w:abstractNumId w:val="0"/>
  </w:num>
  <w:num w:numId="21" w16cid:durableId="456879283">
    <w:abstractNumId w:val="9"/>
  </w:num>
  <w:num w:numId="22" w16cid:durableId="1664966685">
    <w:abstractNumId w:val="7"/>
  </w:num>
  <w:num w:numId="23" w16cid:durableId="552158600">
    <w:abstractNumId w:val="6"/>
  </w:num>
  <w:num w:numId="24" w16cid:durableId="590746909">
    <w:abstractNumId w:val="5"/>
  </w:num>
  <w:num w:numId="25" w16cid:durableId="302782533">
    <w:abstractNumId w:val="4"/>
  </w:num>
  <w:num w:numId="26" w16cid:durableId="597713493">
    <w:abstractNumId w:val="8"/>
  </w:num>
  <w:num w:numId="27" w16cid:durableId="1172524618">
    <w:abstractNumId w:val="3"/>
  </w:num>
  <w:num w:numId="28" w16cid:durableId="1704477780">
    <w:abstractNumId w:val="2"/>
  </w:num>
  <w:num w:numId="29" w16cid:durableId="200677862">
    <w:abstractNumId w:val="1"/>
  </w:num>
  <w:num w:numId="30" w16cid:durableId="871304884">
    <w:abstractNumId w:val="0"/>
  </w:num>
  <w:num w:numId="31" w16cid:durableId="2137411398">
    <w:abstractNumId w:val="9"/>
  </w:num>
  <w:num w:numId="32" w16cid:durableId="667555760">
    <w:abstractNumId w:val="7"/>
  </w:num>
  <w:num w:numId="33" w16cid:durableId="1501391989">
    <w:abstractNumId w:val="6"/>
  </w:num>
  <w:num w:numId="34" w16cid:durableId="116148646">
    <w:abstractNumId w:val="5"/>
  </w:num>
  <w:num w:numId="35" w16cid:durableId="576325746">
    <w:abstractNumId w:val="4"/>
  </w:num>
  <w:num w:numId="36" w16cid:durableId="664284601">
    <w:abstractNumId w:val="8"/>
  </w:num>
  <w:num w:numId="37" w16cid:durableId="330109786">
    <w:abstractNumId w:val="3"/>
  </w:num>
  <w:num w:numId="38" w16cid:durableId="2108117705">
    <w:abstractNumId w:val="2"/>
  </w:num>
  <w:num w:numId="39" w16cid:durableId="1843935924">
    <w:abstractNumId w:val="1"/>
  </w:num>
  <w:num w:numId="40" w16cid:durableId="1940411618">
    <w:abstractNumId w:val="0"/>
  </w:num>
  <w:num w:numId="41" w16cid:durableId="1174299230">
    <w:abstractNumId w:val="10"/>
  </w:num>
  <w:num w:numId="42" w16cid:durableId="605189972">
    <w:abstractNumId w:val="10"/>
  </w:num>
  <w:num w:numId="43" w16cid:durableId="272174339">
    <w:abstractNumId w:val="10"/>
  </w:num>
  <w:num w:numId="44" w16cid:durableId="10905878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637"/>
    <w:rsid w:val="00002272"/>
    <w:rsid w:val="00064002"/>
    <w:rsid w:val="000677B9"/>
    <w:rsid w:val="000831BA"/>
    <w:rsid w:val="000A42CC"/>
    <w:rsid w:val="000E7DD9"/>
    <w:rsid w:val="0010095E"/>
    <w:rsid w:val="00125B37"/>
    <w:rsid w:val="00187494"/>
    <w:rsid w:val="001972E3"/>
    <w:rsid w:val="001F32AE"/>
    <w:rsid w:val="002767FF"/>
    <w:rsid w:val="002B18FE"/>
    <w:rsid w:val="002B5493"/>
    <w:rsid w:val="0030796F"/>
    <w:rsid w:val="00343214"/>
    <w:rsid w:val="00361C00"/>
    <w:rsid w:val="00395FA1"/>
    <w:rsid w:val="003E15D4"/>
    <w:rsid w:val="00411CCE"/>
    <w:rsid w:val="0041666E"/>
    <w:rsid w:val="00421060"/>
    <w:rsid w:val="00471C19"/>
    <w:rsid w:val="004867E3"/>
    <w:rsid w:val="00494A28"/>
    <w:rsid w:val="004C0004"/>
    <w:rsid w:val="004C5D52"/>
    <w:rsid w:val="005043B9"/>
    <w:rsid w:val="0050519A"/>
    <w:rsid w:val="005072A1"/>
    <w:rsid w:val="00514517"/>
    <w:rsid w:val="00545827"/>
    <w:rsid w:val="00560270"/>
    <w:rsid w:val="005C2568"/>
    <w:rsid w:val="005F1B17"/>
    <w:rsid w:val="006037C0"/>
    <w:rsid w:val="006631B6"/>
    <w:rsid w:val="0067060D"/>
    <w:rsid w:val="00680577"/>
    <w:rsid w:val="006A34D8"/>
    <w:rsid w:val="006F74FA"/>
    <w:rsid w:val="00731ADD"/>
    <w:rsid w:val="00734777"/>
    <w:rsid w:val="00747932"/>
    <w:rsid w:val="00751A4A"/>
    <w:rsid w:val="00756632"/>
    <w:rsid w:val="00762C74"/>
    <w:rsid w:val="00786EC0"/>
    <w:rsid w:val="007D1690"/>
    <w:rsid w:val="007E22AD"/>
    <w:rsid w:val="007E6161"/>
    <w:rsid w:val="00817416"/>
    <w:rsid w:val="00842779"/>
    <w:rsid w:val="00865F67"/>
    <w:rsid w:val="00881A7B"/>
    <w:rsid w:val="008840E5"/>
    <w:rsid w:val="00887B3E"/>
    <w:rsid w:val="008C2AC6"/>
    <w:rsid w:val="008D57F3"/>
    <w:rsid w:val="009127EE"/>
    <w:rsid w:val="00930C23"/>
    <w:rsid w:val="0093193B"/>
    <w:rsid w:val="009509D8"/>
    <w:rsid w:val="00950B64"/>
    <w:rsid w:val="00981893"/>
    <w:rsid w:val="00A1687D"/>
    <w:rsid w:val="00A36B2E"/>
    <w:rsid w:val="00A43E52"/>
    <w:rsid w:val="00A4678D"/>
    <w:rsid w:val="00A778C7"/>
    <w:rsid w:val="00AA3E5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1B4"/>
    <w:rsid w:val="00E365E1"/>
    <w:rsid w:val="00E820A4"/>
    <w:rsid w:val="00EB006A"/>
    <w:rsid w:val="00EB4772"/>
    <w:rsid w:val="00ED169E"/>
    <w:rsid w:val="00ED4235"/>
    <w:rsid w:val="00EE6637"/>
    <w:rsid w:val="00F04346"/>
    <w:rsid w:val="00F075DC"/>
    <w:rsid w:val="00F149E9"/>
    <w:rsid w:val="00F5134D"/>
    <w:rsid w:val="00F74202"/>
    <w:rsid w:val="00F87713"/>
    <w:rsid w:val="00FB4360"/>
    <w:rsid w:val="00FD0C70"/>
  </w:rsids>
  <w:docVars>
    <w:docVar w:name="dvdocse" w:val="B10-0275/2026"/>
    <w:docVar w:name="dvlangue" w:val="LV"/>
    <w:docVar w:name="dvnumam" w:val="0"/>
    <w:docVar w:name="dvpe" w:val="783.329"/>
    <w:docVar w:name="dvtitre" w:val="Eiropas Parlamenta 2026. gada XX. XXX  rezolūcija par bērnu vervēšanu organizētajā noziedzībā(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5B6CBAA"/>
  <w15:chartTrackingRefBased/>
  <w15:docId w15:val="{7BD57FAB-EDDB-4294-B163-2B93F7C77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43B9"/>
    <w:pPr>
      <w:spacing w:before="480" w:after="240"/>
    </w:pPr>
  </w:style>
  <w:style w:type="paragraph" w:customStyle="1" w:styleId="NormalBold">
    <w:name w:val="NormalBold"/>
    <w:basedOn w:val="Normal"/>
    <w:rsid w:val="005043B9"/>
    <w:rPr>
      <w:b/>
    </w:rPr>
  </w:style>
  <w:style w:type="paragraph" w:customStyle="1" w:styleId="NormalHanging12a">
    <w:name w:val="NormalHanging12a"/>
    <w:basedOn w:val="Normal"/>
    <w:link w:val="NormalHanging12aChar"/>
    <w:rsid w:val="005043B9"/>
    <w:pPr>
      <w:spacing w:after="240"/>
      <w:ind w:left="567" w:hanging="567"/>
    </w:pPr>
  </w:style>
  <w:style w:type="character" w:styleId="Hyperlink">
    <w:name w:val="Hyperlink"/>
    <w:basedOn w:val="DefaultParagraphFont"/>
    <w:unhideWhenUsed/>
    <w:rsid w:val="005043B9"/>
    <w:rPr>
      <w:color w:val="0563C1" w:themeColor="hyperlink"/>
      <w:u w:val="single"/>
    </w:rPr>
  </w:style>
  <w:style w:type="character" w:customStyle="1" w:styleId="NormalHanging12aChar">
    <w:name w:val="NormalHanging12a Char"/>
    <w:basedOn w:val="DefaultParagraphFont"/>
    <w:link w:val="NormalHanging12a"/>
    <w:rsid w:val="005043B9"/>
    <w:rPr>
      <w:sz w:val="24"/>
      <w:lang w:val="lv-LV"/>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5043B9"/>
    <w:pPr>
      <w:widowControl/>
      <w:spacing w:after="160" w:line="240" w:lineRule="exact"/>
    </w:pPr>
    <w:rPr>
      <w:sz w:val="20"/>
      <w:vertAlign w:val="superscript"/>
      <w:lang w:val="en-GB"/>
    </w:rPr>
  </w:style>
  <w:style w:type="paragraph" w:styleId="Revision">
    <w:name w:val="Revision"/>
    <w:hidden/>
    <w:uiPriority w:val="99"/>
    <w:semiHidden/>
    <w:rsid w:val="00AA3E5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s://www.europol.europa.eu/publication-events/main-reports/decoding-eus-most-threatening-criminal-networks" TargetMode="External" /><Relationship Id="rId5" Type="http://schemas.openxmlformats.org/officeDocument/2006/relationships/hyperlink" Target="http://data.europa.eu/eli/dir/2013/29/oj" TargetMode="External" /><Relationship Id="rId6"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2352</Words>
  <Characters>16515</Characters>
  <Application>Microsoft Office Word</Application>
  <DocSecurity>0</DocSecurity>
  <Lines>500</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2026-07-15T13:18:00Z</dcterms:created>
  <dcterms:modified xsi:type="dcterms:W3CDTF">2026-07-15T13:18:00Z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B10-0275/2026</vt:lpwstr>
  </property>
  <property fmtid="{D5CDD505-2E9C-101B-9397-08002B2CF9AE}" pid="4" name="&lt;Type&gt;">
    <vt:lpwstr>RR</vt:lpwstr>
  </property>
</Properties>
</file>