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462B12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51AD" w:rsidP="0010095E" w14:paraId="70DE6BBF" w14:textId="77777777">
            <w:pPr>
              <w:pStyle w:val="EPName"/>
            </w:pPr>
            <w:r w:rsidRPr="00DE51AD">
              <w:t>Parlament Europejski</w:t>
            </w:r>
          </w:p>
          <w:p w:rsidR="00751A4A" w:rsidRPr="00DE51AD" w:rsidP="005F1B17" w14:paraId="1FD8614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51AD">
              <w:t>2024</w:t>
            </w:r>
            <w:r w:rsidRPr="00DE51AD" w:rsidR="00817416">
              <w:t>-202</w:t>
            </w:r>
            <w:r w:rsidRPr="00DE51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E51AD" w:rsidP="0010095E" w14:paraId="4B194B18" w14:textId="77777777">
            <w:pPr>
              <w:pStyle w:val="EPLogo"/>
            </w:pPr>
            <w:r w:rsidRPr="00DE51A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E51AD" w:rsidP="004C5D52" w14:paraId="79342D44" w14:textId="77777777">
      <w:pPr>
        <w:pStyle w:val="LineTop"/>
      </w:pPr>
    </w:p>
    <w:p w:rsidR="00680577" w:rsidRPr="00DE51AD" w:rsidP="00680577" w14:paraId="61B977B2" w14:textId="77777777">
      <w:pPr>
        <w:pStyle w:val="EPBodyTA1"/>
      </w:pPr>
      <w:r w:rsidRPr="00DE51AD">
        <w:t>TEKSTY PRZYJĘTE</w:t>
      </w:r>
    </w:p>
    <w:p w:rsidR="00D058B8" w:rsidRPr="00DE51AD" w:rsidP="00D058B8" w14:paraId="2331DA62" w14:textId="77777777">
      <w:pPr>
        <w:pStyle w:val="LineBottom"/>
      </w:pPr>
    </w:p>
    <w:p w:rsidR="00A73915" w:rsidRPr="00DE51AD" w:rsidP="00A73915" w14:paraId="4A939899" w14:textId="6C1097D6">
      <w:pPr>
        <w:pStyle w:val="ATHeading1"/>
      </w:pPr>
      <w:bookmarkStart w:id="0" w:name="TANumber"/>
      <w:r w:rsidRPr="00DE51AD">
        <w:t>P10_TA(2026)0</w:t>
      </w:r>
      <w:bookmarkEnd w:id="0"/>
      <w:r w:rsidR="003E3C45">
        <w:t>230</w:t>
      </w:r>
    </w:p>
    <w:p w:rsidR="00A73915" w:rsidRPr="00DE51AD" w:rsidP="00A73915" w14:paraId="1B520BDD" w14:textId="77777777">
      <w:pPr>
        <w:pStyle w:val="ATHeading2"/>
      </w:pPr>
      <w:bookmarkStart w:id="1" w:name="title"/>
      <w:r w:rsidRPr="00DE51AD">
        <w:t>Rekrutacja dzieci przez zorganizowane grupy przestępcze</w:t>
      </w:r>
      <w:bookmarkEnd w:id="1"/>
    </w:p>
    <w:p w:rsidR="00A73915" w:rsidRPr="00DE51AD" w:rsidP="00A73915" w14:paraId="359DCE70" w14:textId="77777777">
      <w:pPr>
        <w:rPr>
          <w:i/>
          <w:vanish/>
        </w:rPr>
      </w:pPr>
      <w:r>
        <w:rPr>
          <w:i/>
        </w:rPr>
        <w:fldChar w:fldCharType="begin"/>
      </w:r>
      <w:r w:rsidRPr="00DE51AD">
        <w:rPr>
          <w:i/>
        </w:rPr>
        <w:instrText xml:space="preserve"> TC"(</w:instrText>
      </w:r>
      <w:bookmarkStart w:id="2" w:name="DocNumber"/>
      <w:r w:rsidRPr="00DE51AD">
        <w:rPr>
          <w:i/>
        </w:rPr>
        <w:instrText>B10-0275/2026</w:instrText>
      </w:r>
      <w:bookmarkEnd w:id="2"/>
      <w:r w:rsidRPr="00DE51A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73915" w:rsidRPr="00DE51AD" w:rsidP="00A73915" w14:paraId="02057E86" w14:textId="77777777">
      <w:pPr>
        <w:rPr>
          <w:vanish/>
        </w:rPr>
      </w:pPr>
      <w:bookmarkStart w:id="3" w:name="PE"/>
      <w:r w:rsidRPr="00DE51AD">
        <w:rPr>
          <w:vanish/>
        </w:rPr>
        <w:t>PE783.329</w:t>
      </w:r>
      <w:bookmarkEnd w:id="3"/>
    </w:p>
    <w:p w:rsidR="00A73915" w:rsidRPr="00DE51AD" w:rsidP="00A73915" w14:paraId="27D39A5F" w14:textId="6C3BD5CC">
      <w:pPr>
        <w:pStyle w:val="ATHeading3"/>
      </w:pPr>
      <w:bookmarkStart w:id="4" w:name="Sujet"/>
      <w:r w:rsidRPr="00DE51AD">
        <w:t xml:space="preserve">Rezolucja Parlamentu Europejskiego z dnia </w:t>
      </w:r>
      <w:r w:rsidR="005F3BB7">
        <w:t>1</w:t>
      </w:r>
      <w:r w:rsidR="003E3C45">
        <w:t>8</w:t>
      </w:r>
      <w:r w:rsidR="005F3BB7">
        <w:t xml:space="preserve"> czerwca</w:t>
      </w:r>
      <w:r w:rsidRPr="00DE51AD">
        <w:t xml:space="preserve"> 2026 r. w sprawie rekrutacji dzieci przez zorganizowane grupy przestępcze</w:t>
      </w:r>
      <w:bookmarkEnd w:id="4"/>
      <w:r w:rsidRPr="00DE51AD">
        <w:t xml:space="preserve"> </w:t>
      </w:r>
      <w:bookmarkStart w:id="5" w:name="References"/>
      <w:r w:rsidRPr="00DE51AD">
        <w:t>(2026/2725(RSP))</w:t>
      </w:r>
      <w:bookmarkEnd w:id="5"/>
    </w:p>
    <w:p w:rsidR="007324A9" w:rsidRPr="00DE51AD" w:rsidP="007324A9" w14:paraId="2AFC07BE" w14:textId="77777777">
      <w:pPr>
        <w:pStyle w:val="EPComma"/>
      </w:pPr>
      <w:bookmarkStart w:id="6" w:name="TextBodyBegin"/>
      <w:bookmarkEnd w:id="6"/>
      <w:r w:rsidRPr="00DE51AD">
        <w:rPr>
          <w:i/>
        </w:rPr>
        <w:t>Parlament Europejski</w:t>
      </w:r>
      <w:r w:rsidRPr="00DE51AD">
        <w:t>,</w:t>
      </w:r>
    </w:p>
    <w:p w:rsidR="007324A9" w:rsidRPr="00DE51AD" w:rsidP="007324A9" w14:paraId="21C1C2D1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Konwencję ONZ o prawach dziecka,</w:t>
      </w:r>
    </w:p>
    <w:p w:rsidR="007324A9" w:rsidRPr="00DE51AD" w:rsidP="007324A9" w14:paraId="215B87A5" w14:textId="6D3995CF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rezolucję Zgromadzenia Ogólnego ONZ 79/188 w sprawie zapobiegania i przeciwdziałania przemocy wobec dzieci ze strony zorganizowanych grup przestępczych i grup terrorystycznych w kontekście zapobiegania przestępczości i wymiaru sprawiedliwości w sprawach karnych,</w:t>
      </w:r>
    </w:p>
    <w:p w:rsidR="007324A9" w:rsidRPr="00DE51AD" w:rsidP="007324A9" w14:paraId="4F6F95DD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rezolucję Rady Gospodarczo-Społecznej ONZ 2024/12 w sprawie traktowania dzieci powiązanych z grupami terrorystycznymi, w tym dzieci rekrutowanych i wykorzystywanych przez te grupy,</w:t>
      </w:r>
    </w:p>
    <w:p w:rsidR="007324A9" w:rsidRPr="00DE51AD" w:rsidP="007324A9" w14:paraId="06D51FB9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komunikat Komisji z 1 kwietnia 2025 r. zatytułowany „</w:t>
      </w:r>
      <w:r w:rsidRPr="00DE51AD">
        <w:t>ProtectEU</w:t>
      </w:r>
      <w:r w:rsidRPr="00DE51AD">
        <w:t xml:space="preserve"> 2025–2030: europejska strategia bezpieczeństwa wewnętrznego” (COM(2025)0148),</w:t>
      </w:r>
    </w:p>
    <w:p w:rsidR="007324A9" w:rsidRPr="00DE51AD" w:rsidP="007324A9" w14:paraId="392EA6EB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sprawozdanie Europolu z 2025 r. pt. „Ocena zagrożenia poważną i zorganizowaną przestępczością w Unii Europejskiej” (EU–SOCTA),</w:t>
      </w:r>
    </w:p>
    <w:p w:rsidR="007324A9" w:rsidRPr="00DE51AD" w:rsidP="007324A9" w14:paraId="4DC64D60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przyszły plan działania UE w sprawie ochrony dzieci przed przestępczością,</w:t>
      </w:r>
    </w:p>
    <w:p w:rsidR="007324A9" w:rsidRPr="00DE51AD" w:rsidP="007324A9" w14:paraId="4B934B11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 xml:space="preserve">uwzględniając projekt STRIVE </w:t>
      </w:r>
      <w:r w:rsidRPr="00DE51AD">
        <w:t>Juvenile</w:t>
      </w:r>
      <w:r w:rsidRPr="00DE51AD">
        <w:t xml:space="preserve"> realizowany przez UE i Biuro Narodów Zjednoczonych ds. Narkotyków i Przestępczości (UNODC) oraz ustalenia z jego oceny,</w:t>
      </w:r>
    </w:p>
    <w:p w:rsidR="007324A9" w:rsidRPr="00DE51AD" w:rsidP="007324A9" w14:paraId="6CB3BA4B" w14:textId="77777777">
      <w:pPr>
        <w:pStyle w:val="NormalHanging12a"/>
      </w:pPr>
      <w:bookmarkStart w:id="7" w:name="_Hlk231207339"/>
      <w:r w:rsidRPr="00DE51AD">
        <w:rPr>
          <w:snapToGrid w:val="0"/>
        </w:rPr>
        <w:t>–</w:t>
      </w:r>
      <w:r w:rsidRPr="00DE51AD">
        <w:rPr>
          <w:snapToGrid w:val="0"/>
        </w:rPr>
        <w:tab/>
      </w:r>
      <w:r w:rsidRPr="00DE51AD">
        <w:t>uwzględniając rozporządzenie Parlamentu Europejskiego i Rady (UE) 2022/2065 z dnia 19 października 2022 r. w sprawie jednolitego rynku usług cyfrowych oraz zmiany dyrektywy 2000/31/WE (akt o usługach cyfrowych)</w:t>
      </w:r>
      <w:r>
        <w:rPr>
          <w:rStyle w:val="FootnoteReference"/>
        </w:rPr>
        <w:footnoteReference w:id="2"/>
      </w:r>
      <w:r w:rsidRPr="00DE51AD">
        <w:t xml:space="preserve">, w szczególności jego przepisy dotyczące ochrony małoletnich w </w:t>
      </w:r>
      <w:r w:rsidRPr="00DE51AD">
        <w:t>internecie</w:t>
      </w:r>
      <w:r w:rsidRPr="00DE51AD">
        <w:t xml:space="preserve">, oceny i ograniczania ryzyka systemowego związanego z nielegalnymi treściami i szkodliwymi </w:t>
      </w:r>
      <w:r w:rsidRPr="00DE51AD">
        <w:t>zachowaniami</w:t>
      </w:r>
      <w:r w:rsidRPr="00DE51AD">
        <w:t xml:space="preserve"> w </w:t>
      </w:r>
      <w:r w:rsidRPr="00DE51AD">
        <w:t>internecie</w:t>
      </w:r>
      <w:r w:rsidRPr="00DE51AD">
        <w:t xml:space="preserve">, systemów rekomendacji oraz obowiązków bardzo dużych platform internetowych i </w:t>
      </w:r>
      <w:r w:rsidRPr="00DE51AD">
        <w:t>wyszukiwarek,</w:t>
      </w:r>
    </w:p>
    <w:p w:rsidR="007324A9" w:rsidRPr="00DE51AD" w:rsidP="007324A9" w14:paraId="45FEB765" w14:textId="77777777">
      <w:pPr>
        <w:pStyle w:val="NormalHanging12a"/>
      </w:pPr>
      <w:r w:rsidRPr="00DE51AD">
        <w:rPr>
          <w:snapToGrid w:val="0"/>
        </w:rPr>
        <w:t>–</w:t>
      </w:r>
      <w:r w:rsidRPr="00DE51AD">
        <w:rPr>
          <w:snapToGrid w:val="0"/>
        </w:rPr>
        <w:tab/>
      </w:r>
      <w:r w:rsidRPr="00DE51AD">
        <w:t>uwzględniając wytyczne Komisji z 14 lipca 2025 r. dotyczące aktu o usługach cyfrowych w sprawie ochrony małoletnich</w:t>
      </w:r>
      <w:r>
        <w:rPr>
          <w:rStyle w:val="FootnoteReference"/>
        </w:rPr>
        <w:footnoteReference w:id="3"/>
      </w:r>
      <w:r w:rsidRPr="00DE51AD">
        <w:t>,</w:t>
      </w:r>
    </w:p>
    <w:p w:rsidR="007324A9" w:rsidRPr="00DE51AD" w:rsidP="007324A9" w14:paraId="57CE8A1D" w14:textId="77777777">
      <w:pPr>
        <w:pStyle w:val="NormalHanging12a"/>
      </w:pPr>
      <w:r w:rsidRPr="00DE51AD">
        <w:rPr>
          <w:snapToGrid w:val="0"/>
        </w:rPr>
        <w:t>–</w:t>
      </w:r>
      <w:r w:rsidRPr="00DE51AD">
        <w:rPr>
          <w:snapToGrid w:val="0"/>
        </w:rPr>
        <w:tab/>
      </w:r>
      <w:r w:rsidRPr="00DE51AD">
        <w:t>uwzględniając powiadomienie wywiadowcze Europolu z 12 listopada 2024 r. pt. „Werbowanie młodych sprawców do siatek przestępczych”,</w:t>
      </w:r>
    </w:p>
    <w:p w:rsidR="007324A9" w:rsidRPr="00DE51AD" w:rsidP="007324A9" w14:paraId="29954E02" w14:textId="77777777">
      <w:pPr>
        <w:pStyle w:val="NormalHanging12a"/>
      </w:pPr>
      <w:r w:rsidRPr="00DE51AD">
        <w:rPr>
          <w:snapToGrid w:val="0"/>
        </w:rPr>
        <w:t>–</w:t>
      </w:r>
      <w:r w:rsidRPr="00DE51AD">
        <w:rPr>
          <w:snapToGrid w:val="0"/>
        </w:rPr>
        <w:tab/>
      </w:r>
      <w:r w:rsidRPr="00DE51AD">
        <w:t xml:space="preserve">uwzględniając dokument roboczy UNICEF </w:t>
      </w:r>
      <w:r w:rsidRPr="00DE51AD">
        <w:t>Innocenti</w:t>
      </w:r>
      <w:r w:rsidRPr="00DE51AD">
        <w:t xml:space="preserve"> – Globalne Centrum Badań i Prognozowania z września 2024 r. pt. „</w:t>
      </w:r>
      <w:r w:rsidRPr="00DE51AD">
        <w:t>Children’s</w:t>
      </w:r>
      <w:r w:rsidRPr="00DE51AD">
        <w:t xml:space="preserve"> </w:t>
      </w:r>
      <w:r w:rsidRPr="00DE51AD">
        <w:t>Involvement</w:t>
      </w:r>
      <w:r w:rsidRPr="00DE51AD">
        <w:t xml:space="preserve"> in </w:t>
      </w:r>
      <w:r w:rsidRPr="00DE51AD">
        <w:t>Organised</w:t>
      </w:r>
      <w:r w:rsidRPr="00DE51AD">
        <w:t xml:space="preserve"> </w:t>
      </w:r>
      <w:r w:rsidRPr="00DE51AD">
        <w:t>Violence</w:t>
      </w:r>
      <w:r w:rsidRPr="00DE51AD">
        <w:t xml:space="preserve">: </w:t>
      </w:r>
      <w:r w:rsidRPr="00DE51AD">
        <w:t>Emerging</w:t>
      </w:r>
      <w:r w:rsidRPr="00DE51AD">
        <w:t xml:space="preserve"> </w:t>
      </w:r>
      <w:r w:rsidRPr="00DE51AD">
        <w:t>trends</w:t>
      </w:r>
      <w:r w:rsidRPr="00DE51AD">
        <w:t xml:space="preserve"> and </w:t>
      </w:r>
      <w:r w:rsidRPr="00DE51AD">
        <w:t>knowledge</w:t>
      </w:r>
      <w:r w:rsidRPr="00DE51AD">
        <w:t xml:space="preserve"> </w:t>
      </w:r>
      <w:r w:rsidRPr="00DE51AD">
        <w:t>gaps</w:t>
      </w:r>
      <w:r w:rsidRPr="00DE51AD">
        <w:t>” [Udział dzieci w zorganizowanej przemocy: nowe tendencje i luki w wiedzy],</w:t>
      </w:r>
    </w:p>
    <w:bookmarkEnd w:id="7"/>
    <w:p w:rsidR="007324A9" w:rsidRPr="00DE51AD" w:rsidP="007324A9" w14:paraId="5FDE638A" w14:textId="77777777">
      <w:pPr>
        <w:pStyle w:val="NormalHanging12a"/>
        <w:rPr>
          <w:bCs/>
          <w:spacing w:val="-2"/>
        </w:rPr>
      </w:pPr>
      <w:r w:rsidRPr="00DE51AD">
        <w:t>–</w:t>
      </w:r>
      <w:r w:rsidRPr="00DE51AD">
        <w:tab/>
        <w:t>uwzględniając strategię UE na rzecz praw dziecka oraz strategię antynarkotykową UE,</w:t>
      </w:r>
    </w:p>
    <w:p w:rsidR="007324A9" w:rsidRPr="00DE51AD" w:rsidP="007324A9" w14:paraId="719D838A" w14:textId="77777777">
      <w:pPr>
        <w:pStyle w:val="NormalHanging12a"/>
        <w:rPr>
          <w:bCs/>
          <w:spacing w:val="-2"/>
        </w:rPr>
      </w:pPr>
      <w:r w:rsidRPr="00DE51AD">
        <w:t>–</w:t>
      </w:r>
      <w:r w:rsidRPr="00DE51AD">
        <w:tab/>
        <w:t xml:space="preserve">uwzględniając wysłuchanie Komisji Wolności Obywatelskich, Sprawiedliwości i Spraw Wewnętrznych z 4 czerwca 2025 r. pt. „Radykalizacja w </w:t>
      </w:r>
      <w:r w:rsidRPr="00DE51AD">
        <w:t>internecie</w:t>
      </w:r>
      <w:r w:rsidRPr="00DE51AD">
        <w:t>, ze szczególnym uwzględnieniem werbowania dzieci na potrzeby przestępczości zorganizowanej i terroryzmu”,</w:t>
      </w:r>
    </w:p>
    <w:p w:rsidR="007324A9" w:rsidRPr="00DE51AD" w:rsidP="007324A9" w14:paraId="42CC403D" w14:textId="77777777">
      <w:pPr>
        <w:pStyle w:val="NormalHanging12a"/>
        <w:rPr>
          <w:bCs/>
          <w:spacing w:val="-2"/>
        </w:rPr>
      </w:pPr>
      <w:r w:rsidRPr="00DE51AD">
        <w:t>–</w:t>
      </w:r>
      <w:r w:rsidRPr="00DE51AD">
        <w:tab/>
        <w:t xml:space="preserve">uwzględniając swoją rezolucję z dnia 20 stycznia 2026 r. w sprawie zabójstwa </w:t>
      </w:r>
      <w:r w:rsidRPr="00DE51AD">
        <w:t>Mehdiego</w:t>
      </w:r>
      <w:r w:rsidRPr="00DE51AD">
        <w:t xml:space="preserve"> </w:t>
      </w:r>
      <w:r w:rsidRPr="00DE51AD">
        <w:t>Kessaciego</w:t>
      </w:r>
      <w:r w:rsidRPr="00DE51AD">
        <w:t xml:space="preserve"> – pilna potrzeba ambitnych europejskich działań przeciwko handlowi narkotykami pilna potrzeba ambitnych europejskich działań przeciwko handlowi narkotykami</w:t>
      </w:r>
      <w:r>
        <w:rPr>
          <w:rStyle w:val="FootnoteReference"/>
        </w:rPr>
        <w:footnoteReference w:id="4"/>
      </w:r>
    </w:p>
    <w:p w:rsidR="007324A9" w:rsidRPr="00DE51AD" w:rsidP="007324A9" w14:paraId="30C94EC9" w14:textId="77777777">
      <w:pPr>
        <w:pStyle w:val="NormalHanging12a"/>
        <w:rPr>
          <w:spacing w:val="-2"/>
        </w:rPr>
      </w:pPr>
      <w:r w:rsidRPr="00DE51AD">
        <w:t>–</w:t>
      </w:r>
      <w:r w:rsidRPr="00DE51AD">
        <w:tab/>
        <w:t>uwzględniając dyrektywę Parlamentu Europejskiego i Rady (UE) 2016/800 z dnia 11 maja 2016 r. w sprawie gwarancji procesowych dla dzieci będących podejrzanymi lub oskarżonymi w postępowaniu karnym</w:t>
      </w:r>
      <w:r>
        <w:rPr>
          <w:rStyle w:val="FootnoteReference"/>
        </w:rPr>
        <w:footnoteReference w:id="5"/>
      </w:r>
      <w:r w:rsidRPr="00DE51AD">
        <w:t>,</w:t>
      </w:r>
    </w:p>
    <w:p w:rsidR="007324A9" w:rsidRPr="00DE51AD" w:rsidP="007324A9" w14:paraId="35E03AB4" w14:textId="77777777">
      <w:pPr>
        <w:pStyle w:val="NormalHanging12a"/>
      </w:pPr>
      <w:r w:rsidRPr="00DE51AD">
        <w:t>–</w:t>
      </w:r>
      <w:r w:rsidRPr="00DE51AD">
        <w:tab/>
        <w:t>uwzględniając art. 136 ust. 2 Regulaminu,</w:t>
      </w:r>
    </w:p>
    <w:p w:rsidR="007324A9" w:rsidRPr="00DE51AD" w:rsidP="007324A9" w14:paraId="7638E261" w14:textId="77777777">
      <w:pPr>
        <w:pStyle w:val="NormalHanging12a"/>
      </w:pPr>
      <w:r w:rsidRPr="00DE51AD">
        <w:t>A.</w:t>
      </w:r>
      <w:r w:rsidRPr="00DE51AD">
        <w:rPr>
          <w:snapToGrid w:val="0"/>
        </w:rPr>
        <w:tab/>
      </w:r>
      <w:r w:rsidRPr="00DE51AD">
        <w:t>mając na uwadze, że zorganizowane grupy przestępcze i terrorystyczne coraz aktywniej werbują i wykorzystują dzieci w ramach swoich strategii operacyjnych, w tym w celu ochrony dorosłych sprawców przed wykryciem i ściganiem oraz w celu rozszerzania nielegalnej działalności;</w:t>
      </w:r>
    </w:p>
    <w:p w:rsidR="007324A9" w:rsidRPr="00DE51AD" w:rsidP="007324A9" w14:paraId="7F519F04" w14:textId="77777777">
      <w:pPr>
        <w:pStyle w:val="NormalHanging12a"/>
      </w:pPr>
      <w:r w:rsidRPr="00DE51AD">
        <w:rPr>
          <w:snapToGrid w:val="0"/>
        </w:rPr>
        <w:t>B.</w:t>
      </w:r>
      <w:r w:rsidRPr="00DE51AD">
        <w:rPr>
          <w:snapToGrid w:val="0"/>
        </w:rPr>
        <w:tab/>
      </w:r>
      <w:r w:rsidRPr="00DE51AD">
        <w:t>mając na uwadze, że z powiadomienia wywiadowczego Europolu z listopada 2024 r. wynika, iż małoletni werbowani przez siatki przestępcze zazwyczaj nie mają bezpośredniego kontaktu z wyższymi szczeblami organizacji i wykonują polecenia pośredników zajmujących się świadczeniem usług przestępczych; mając na uwadze, że ograniczona wiedza tych małoletnich na temat struktury sieci oraz fakt, że nie figurują oni w rejestrach karnych, sprawiają, że są oni pracownikami niskiego ryzyka, którzy w przypadku zatrzymania nie będą raczej w stanie udzielić organom ścigania użytecznych informacji;</w:t>
      </w:r>
    </w:p>
    <w:p w:rsidR="007324A9" w:rsidRPr="00DE51AD" w:rsidP="007324A9" w14:paraId="794E5F5A" w14:textId="77777777">
      <w:pPr>
        <w:pStyle w:val="NormalHanging12a"/>
      </w:pPr>
      <w:r w:rsidRPr="00DE51AD">
        <w:rPr>
          <w:snapToGrid w:val="0"/>
        </w:rPr>
        <w:t>C.</w:t>
      </w:r>
      <w:r w:rsidRPr="00DE51AD">
        <w:rPr>
          <w:snapToGrid w:val="0"/>
        </w:rPr>
        <w:tab/>
      </w:r>
      <w:r w:rsidRPr="00DE51AD">
        <w:t xml:space="preserve">mając na uwadze, że werbowanie i wykorzystywanie dzieci przez zorganizowane grupy przestępcze i terrorystyczne narusza prawa podstawowe dzieci, w tym godność, co ma poważne konsekwencje dla ich bezpieczeństwa i przyszłości; mając na uwadze, że </w:t>
      </w:r>
      <w:r w:rsidRPr="00DE51AD">
        <w:t>podatność dzieci na rekrutację przez zorganizowane siatki przestępcze wynika z skumulowanych i krzyżujących się czynników ryzyka, w tym braku poczucia przynależności, niekorzystnych doświadczeń z dzieciństwa i wyzwań związanych ze zdrowiem psychicznym, które są celowo wykorzystywane przez te organizacje; mając na uwadze, że skuteczna profilaktyka wymaga zintegrowanego działania uwzględniającego te czynniki;</w:t>
      </w:r>
    </w:p>
    <w:p w:rsidR="007324A9" w:rsidRPr="00DE51AD" w:rsidP="007324A9" w14:paraId="4EACE61F" w14:textId="77777777">
      <w:pPr>
        <w:pStyle w:val="NormalHanging12a"/>
      </w:pPr>
      <w:r w:rsidRPr="00DE51AD">
        <w:rPr>
          <w:snapToGrid w:val="0"/>
        </w:rPr>
        <w:t>D.</w:t>
      </w:r>
      <w:r w:rsidRPr="00DE51AD">
        <w:rPr>
          <w:snapToGrid w:val="0"/>
        </w:rPr>
        <w:tab/>
      </w:r>
      <w:r w:rsidRPr="00DE51AD">
        <w:t>mając na uwadze, że rekrutacja dzieci przekształciła się ze zjawiska o charakterze głównie humanitarnym w zjawisko systemowe ułatwiające przestępczość zorganizowaną i stała się częścią modeli operacyjnych siatek przestępczych, przez co stanowi przeszkodę dla pokoju, bezpieczeństwa i rozwoju; mając na uwadze, że grupy przestępcze werbujące dzieci zagrażają bezpieczeństwu UE, napędzają przestępczość oraz utrwalają cykle przemocy i braku bezpieczeństwa z pokolenia na pokolenie;</w:t>
      </w:r>
    </w:p>
    <w:p w:rsidR="007324A9" w:rsidRPr="00DE51AD" w:rsidP="007324A9" w14:paraId="5A0518CA" w14:textId="77777777">
      <w:pPr>
        <w:pStyle w:val="NormalHanging12a"/>
      </w:pPr>
      <w:r w:rsidRPr="00DE51AD">
        <w:rPr>
          <w:snapToGrid w:val="0"/>
        </w:rPr>
        <w:t>E.</w:t>
      </w:r>
      <w:r w:rsidRPr="00DE51AD">
        <w:rPr>
          <w:snapToGrid w:val="0"/>
        </w:rPr>
        <w:tab/>
      </w:r>
      <w:r w:rsidRPr="00DE51AD">
        <w:t>mając na uwadze, że praktyki te stały się łatwiejsze dzięki niektórym zmianom technologicznym, które mogą normalizować zachowania przestępcze wśród dzieci i zachęcać do nich;</w:t>
      </w:r>
    </w:p>
    <w:p w:rsidR="007324A9" w:rsidRPr="00DE51AD" w:rsidP="007324A9" w14:paraId="1094DBF2" w14:textId="77777777">
      <w:pPr>
        <w:pStyle w:val="NormalHanging12a"/>
      </w:pPr>
      <w:r w:rsidRPr="00DE51AD">
        <w:rPr>
          <w:snapToGrid w:val="0"/>
        </w:rPr>
        <w:t>F.</w:t>
      </w:r>
      <w:r w:rsidRPr="00DE51AD">
        <w:rPr>
          <w:snapToGrid w:val="0"/>
        </w:rPr>
        <w:tab/>
      </w:r>
      <w:r w:rsidRPr="00DE51AD">
        <w:t>mając na uwadze, że w ramach mapowania Europolu z 2024 r. zidentyfikowano 821 siatek przestępczych wysokiego ryzyka działających w UE, których dochody roczne szacuje się na 92–188 mld EUR, co stanowi około 0,7–1,4 % PKB UE</w:t>
      </w:r>
      <w:r>
        <w:rPr>
          <w:rStyle w:val="FootnoteReference"/>
          <w:color w:val="000000"/>
        </w:rPr>
        <w:footnoteReference w:id="6"/>
      </w:r>
      <w:r w:rsidRPr="00DE51AD">
        <w:t>; mając na uwadze, że małoletni biorą udział w ponad 70 % nielegalnej działalności rynkowej, w tym w handlu narkotykami, wymuszeniach, oszustwach internetowych, praniu pieniędzy, nielegalnym handlu bronią palną i systemach usług przestępczych; siatki przestępcze wykorzystują dzieci w wieku od 12 lat do takich zadań jak handel uliczny, usługi kurierskie i pozyskiwanie narkotyków z kontenerów transportowych;</w:t>
      </w:r>
    </w:p>
    <w:p w:rsidR="007324A9" w:rsidRPr="00DE51AD" w:rsidP="007324A9" w14:paraId="39C68F3B" w14:textId="77777777">
      <w:pPr>
        <w:pStyle w:val="NormalHanging12a"/>
        <w:rPr>
          <w:bCs/>
        </w:rPr>
      </w:pPr>
      <w:r w:rsidRPr="00DE51AD">
        <w:rPr>
          <w:snapToGrid w:val="0"/>
        </w:rPr>
        <w:t>G.</w:t>
      </w:r>
      <w:r w:rsidRPr="00DE51AD">
        <w:rPr>
          <w:snapToGrid w:val="0"/>
        </w:rPr>
        <w:tab/>
      </w:r>
      <w:r w:rsidRPr="00DE51AD">
        <w:t>mając na uwadze, że organizacje przestępcze systematycznie wyszukują dzieci znajdujące się w bardzo trudnej sytuacji, zwłaszcza dzieci doświadczające wykluczenia społeczno-ekonomicznego, przedwczesnego kończenia nauki i rozpadu rodziny, lub dzieci migrujące, wykorzystując ich niestabilną sytuację ekonomiczną, marginalizację społeczną i brak świadomości zagrożeń;</w:t>
      </w:r>
    </w:p>
    <w:p w:rsidR="007324A9" w:rsidRPr="00DE51AD" w:rsidP="007324A9" w14:paraId="1171ACBE" w14:textId="77777777">
      <w:pPr>
        <w:pStyle w:val="NormalHanging12a"/>
        <w:rPr>
          <w:bCs/>
        </w:rPr>
      </w:pPr>
      <w:r w:rsidRPr="00DE51AD">
        <w:rPr>
          <w:snapToGrid w:val="0"/>
        </w:rPr>
        <w:t>H.</w:t>
      </w:r>
      <w:r w:rsidRPr="00DE51AD">
        <w:rPr>
          <w:snapToGrid w:val="0"/>
        </w:rPr>
        <w:tab/>
      </w:r>
      <w:r w:rsidRPr="00DE51AD">
        <w:t>mając na uwadze, że w przestępczość zorganizowaną coraz częściej są angażowane dziewczęta i młode kobiety, mimo że systemy wymiaru sprawiedliwości w sprawach karnych często je pomijają, choć 22 % zidentyfikowanych ofiar handlu ludźmi w Europie Zachodniej i Południowej jest zmuszanych do działalności przestępczej, głównie handlu narkotykami;</w:t>
      </w:r>
    </w:p>
    <w:p w:rsidR="007324A9" w:rsidRPr="00DE51AD" w:rsidP="007324A9" w14:paraId="50FCB47D" w14:textId="77777777">
      <w:pPr>
        <w:pStyle w:val="NormalHanging12a"/>
      </w:pPr>
      <w:r w:rsidRPr="00DE51AD">
        <w:rPr>
          <w:snapToGrid w:val="0"/>
        </w:rPr>
        <w:t>I.</w:t>
      </w:r>
      <w:r w:rsidRPr="00DE51AD">
        <w:rPr>
          <w:snapToGrid w:val="0"/>
        </w:rPr>
        <w:tab/>
      </w:r>
      <w:r w:rsidRPr="00DE51AD">
        <w:t>mając na uwadze, że nielegalny handel bronią i nielegalne używanie środków pirotechnicznych przyczyniły się do zmiany profilu działalności organizacji – z przestępstw popełnianych na niskim szczeblu przeszły one do poważniejszych i brutalnych przestępstw, w tym wymuszeń i zabójstw, z udziałem małoletnich; mając na uwadze, że osoby prowadzące rekrutację przestępczą mogą oferować małoletnim znaczne zachęty finansowe, od kilku tysięcy euro do nawet 20 000 EUR za zabójstwa;</w:t>
      </w:r>
    </w:p>
    <w:p w:rsidR="007324A9" w:rsidRPr="00DE51AD" w:rsidP="007324A9" w14:paraId="09A4F37C" w14:textId="77777777">
      <w:pPr>
        <w:pStyle w:val="NormalHanging12a"/>
      </w:pPr>
      <w:r w:rsidRPr="00DE51AD">
        <w:rPr>
          <w:snapToGrid w:val="0"/>
        </w:rPr>
        <w:t>J.</w:t>
      </w:r>
      <w:r w:rsidRPr="00DE51AD">
        <w:rPr>
          <w:snapToGrid w:val="0"/>
        </w:rPr>
        <w:tab/>
      </w:r>
      <w:r w:rsidRPr="00DE51AD">
        <w:t xml:space="preserve">mając na uwadze, że zastraszanie i przymus związane z narkotykami stanowią główną </w:t>
      </w:r>
      <w:r w:rsidRPr="00DE51AD">
        <w:t>ścieżkę werbowania i wykorzystywania dzieci przez zorganizowane siatki przestępcze, które żerują na ich zadłużeniu, nagabują do celów seksualnych i stosują wobec nich przemoc; mając na uwadze, że transgraniczny zasięg takich sieci oznacza, iż do ich zwalczania nie wystarczą działania na szczeblu krajowym;</w:t>
      </w:r>
    </w:p>
    <w:p w:rsidR="007324A9" w:rsidRPr="00DE51AD" w:rsidP="007324A9" w14:paraId="181D87E2" w14:textId="77777777">
      <w:pPr>
        <w:pStyle w:val="NormalHanging12a"/>
      </w:pPr>
      <w:r w:rsidRPr="00DE51AD">
        <w:rPr>
          <w:snapToGrid w:val="0"/>
        </w:rPr>
        <w:t>K.</w:t>
      </w:r>
      <w:r w:rsidRPr="00DE51AD">
        <w:rPr>
          <w:snapToGrid w:val="0"/>
        </w:rPr>
        <w:tab/>
      </w:r>
      <w:r w:rsidRPr="00DE51AD">
        <w:t>mając na uwadze, że rozwój rynków narkotykowych spowodował alarmujący wzrost liczby małoletnich zaangażowanych w tę działalność, o czym świadczy gwałtowny wzrost korzystania z ważnych węzłów logistycznych, w tym portów; mając na uwadze, że brak zharmonizowanych skutków obecnej definicji przestępczości zorganizowanej w państwach członkowskich UE utrudnia gromadzenie i porównywalność danych, a także mając na uwadze, że dane dotyczące małoletnich w przestępczości zorganizowanej są ograniczone, często mało wiarygodne i porównywalne w niewielkim zakresie ze względu na różny wiek odpowiedzialności karnej i niski poziom zgłaszania;</w:t>
      </w:r>
    </w:p>
    <w:p w:rsidR="007324A9" w:rsidRPr="00DE51AD" w:rsidP="007324A9" w14:paraId="3FF2A68B" w14:textId="77777777">
      <w:pPr>
        <w:pStyle w:val="NormalHanging12a"/>
      </w:pPr>
      <w:r w:rsidRPr="00DE51AD">
        <w:rPr>
          <w:snapToGrid w:val="0"/>
        </w:rPr>
        <w:t>L.</w:t>
      </w:r>
      <w:r w:rsidRPr="00DE51AD">
        <w:rPr>
          <w:snapToGrid w:val="0"/>
        </w:rPr>
        <w:tab/>
      </w:r>
      <w:r w:rsidRPr="00DE51AD">
        <w:t>mając na uwadze, że niedoinwestowanie usług publicznych, w tym profilaktyki, edukacji i opieki zdrowotnej, jest podstawową przyczyną werbowania dzieci przez zorganizowane grupy przestępcze;</w:t>
      </w:r>
    </w:p>
    <w:p w:rsidR="007324A9" w:rsidRPr="00DE51AD" w:rsidP="007324A9" w14:paraId="5AEBFA3C" w14:textId="77777777">
      <w:pPr>
        <w:pStyle w:val="NormalHanging12a"/>
      </w:pPr>
      <w:r w:rsidRPr="00DE51AD">
        <w:rPr>
          <w:snapToGrid w:val="0"/>
        </w:rPr>
        <w:t>M.</w:t>
      </w:r>
      <w:r w:rsidRPr="00DE51AD">
        <w:rPr>
          <w:snapToGrid w:val="0"/>
        </w:rPr>
        <w:tab/>
      </w:r>
      <w:r w:rsidRPr="00DE51AD">
        <w:t xml:space="preserve">mając na uwadze, że fragmentaryczne reakcje instytucjonalne i niewystarczająca koordynacja między systemami ochrony dzieci, organami wymiaru sprawiedliwości, agencjami bezpieczeństwa i cyfrowymi organami regulacyjnymi tworzą luki, które grupy przestępcze wykorzystują do działania; mając na uwadze, że w rezolucji Parlamentu w sprawie zabójstwa </w:t>
      </w:r>
      <w:r w:rsidRPr="00DE51AD">
        <w:t>Mehdiego</w:t>
      </w:r>
      <w:r w:rsidRPr="00DE51AD">
        <w:t xml:space="preserve"> </w:t>
      </w:r>
      <w:r w:rsidRPr="00DE51AD">
        <w:t>Kessaciego</w:t>
      </w:r>
      <w:r w:rsidRPr="00DE51AD">
        <w:t xml:space="preserve"> w Marsylii potępiono systematyczne rekrutowanie młodych ludzi przez grupy przestępcze i wezwano do skuteczniejszego zapobiegania, ochrony i ścigania, w tym do specjalistycznego wsparcia małoletnich, aby chronić ich przed wyzyskiem i zapewnić im ponowną integrację społeczną;</w:t>
      </w:r>
    </w:p>
    <w:p w:rsidR="007324A9" w:rsidRPr="00DE51AD" w:rsidP="007324A9" w14:paraId="29EBC489" w14:textId="77777777">
      <w:pPr>
        <w:pStyle w:val="NormalHanging12a"/>
      </w:pPr>
      <w:r w:rsidRPr="00DE51AD">
        <w:rPr>
          <w:snapToGrid w:val="0"/>
        </w:rPr>
        <w:t>N.</w:t>
      </w:r>
      <w:r w:rsidRPr="00DE51AD">
        <w:rPr>
          <w:snapToGrid w:val="0"/>
        </w:rPr>
        <w:tab/>
      </w:r>
      <w:r w:rsidRPr="00DE51AD">
        <w:t>mając na uwadze, że w kwietniu 2025 r. Europol powołał operacyjną grupę zadaniową o nazwie „GRIMM”, której zadaniem jest koordynacja działalności z przedsiębiorstwami technologicznymi z myślą o zidentyfikowaniu prób werbowania dzieci za pośrednictwem mediów społecznościowych i platform komunikacyjnych; na czele tej grupy zadaniowej stoi Szwecja, a bierze w niej udział także policja z Belgii, Danii, Finlandii, Francji, Niemiec, Niderlandów i Norwegii;</w:t>
      </w:r>
    </w:p>
    <w:p w:rsidR="007324A9" w:rsidRPr="00DE51AD" w:rsidP="007324A9" w14:paraId="54DF9575" w14:textId="77777777">
      <w:pPr>
        <w:pStyle w:val="NormalHanging12a"/>
      </w:pPr>
      <w:r w:rsidRPr="00DE51AD">
        <w:rPr>
          <w:snapToGrid w:val="0"/>
        </w:rPr>
        <w:t>O.</w:t>
      </w:r>
      <w:r w:rsidRPr="00DE51AD">
        <w:rPr>
          <w:snapToGrid w:val="0"/>
        </w:rPr>
        <w:tab/>
      </w:r>
      <w:r w:rsidRPr="00DE51AD">
        <w:t xml:space="preserve">mając na uwadze, że podejścia oparte na dowodach, takie jak podejścia opracowane w ramach projektów UE–UNODC i STRIVE </w:t>
      </w:r>
      <w:r w:rsidRPr="00DE51AD">
        <w:t>Juvenile</w:t>
      </w:r>
      <w:r w:rsidRPr="00DE51AD">
        <w:t xml:space="preserve"> dotyczących nieletnich, pokazują skuteczność działań prewencyjnych, przede wszystkim międzysektorowych, opartych na wiedzy o traumatycznych przeżyciach, uwzględniających aspekt płci i skoncentrowanych na dziecku;</w:t>
      </w:r>
    </w:p>
    <w:p w:rsidR="007324A9" w:rsidRPr="00DE51AD" w:rsidP="007324A9" w14:paraId="2075939B" w14:textId="77777777">
      <w:pPr>
        <w:pStyle w:val="NormalHanging12a"/>
      </w:pPr>
      <w:r w:rsidRPr="00DE51AD">
        <w:t>1.</w:t>
      </w:r>
      <w:r w:rsidRPr="00DE51AD">
        <w:tab/>
        <w:t xml:space="preserve">zdecydowanie potępia wszystkie formy werbowania i wykorzystywania dzieci przez zorganizowane grupy przestępcze i terrorystyczne, zarówno w </w:t>
      </w:r>
      <w:r w:rsidRPr="00DE51AD">
        <w:t>internecie</w:t>
      </w:r>
      <w:r w:rsidRPr="00DE51AD">
        <w:t>, jak i poza nim;</w:t>
      </w:r>
    </w:p>
    <w:p w:rsidR="007324A9" w:rsidRPr="00DE51AD" w:rsidP="007324A9" w14:paraId="59AC5C93" w14:textId="77777777">
      <w:pPr>
        <w:pStyle w:val="NormalHanging12a"/>
        <w:rPr>
          <w:spacing w:val="-2"/>
        </w:rPr>
      </w:pPr>
      <w:r w:rsidRPr="00DE51AD">
        <w:t>2.</w:t>
      </w:r>
      <w:r w:rsidRPr="00DE51AD">
        <w:tab/>
        <w:t xml:space="preserve">uznaje, że werbowanie dzieci stanowi poważne przestępstwo przeciwko dzieciom i poważne naruszenie praw człowieka; podkreśla, że stanowi ono rosnące zagrożenie dla bezpieczeństwa wewnętrznego i zewnętrznego Unii Europejskiej, które wymaga kompleksowej reakcji skupiającej się na ochronie, wczesnym zapobieganiu, dostępie do praw i ciągłości edukacji, integracji bezpieczeństwa wewnętrznego, wymiaru sprawiedliwości, systemów społecznych i edukacyjnych, oraz strategii i środków </w:t>
      </w:r>
      <w:r w:rsidRPr="00DE51AD">
        <w:t xml:space="preserve">mających na celu umocnienie ram środowiska ochronnego dla dzieci, zarówno w </w:t>
      </w:r>
      <w:r w:rsidRPr="00DE51AD">
        <w:t>internecie</w:t>
      </w:r>
      <w:r w:rsidRPr="00DE51AD">
        <w:t>, jak i poza nim;</w:t>
      </w:r>
    </w:p>
    <w:p w:rsidR="007324A9" w:rsidRPr="00DE51AD" w:rsidP="007324A9" w14:paraId="4468673E" w14:textId="77777777">
      <w:pPr>
        <w:pStyle w:val="NormalHanging12a"/>
        <w:rPr>
          <w:spacing w:val="-2"/>
        </w:rPr>
      </w:pPr>
      <w:r w:rsidRPr="00DE51AD">
        <w:t>3.</w:t>
      </w:r>
      <w:r w:rsidRPr="00DE51AD">
        <w:tab/>
        <w:t>przypomina, że dziecko jest przede wszystkim dzieckiem i należy je odpowiednio traktować, oraz wzywa państwa członkowskie do zadbania o to, by dobro dziecka było zawsze kwestią nadrzędną;</w:t>
      </w:r>
    </w:p>
    <w:p w:rsidR="007324A9" w:rsidRPr="00DE51AD" w:rsidP="007324A9" w14:paraId="744D8851" w14:textId="77777777">
      <w:pPr>
        <w:pStyle w:val="NormalHanging12a"/>
      </w:pPr>
      <w:r w:rsidRPr="00DE51AD">
        <w:t>4.</w:t>
      </w:r>
      <w:r w:rsidRPr="00DE51AD">
        <w:tab/>
        <w:t>wzywa Komisję i państwa członkowskie do wyraźnego uznania, że w ramach przyszłego planu działania UE w sprawie ochrony dzieci przed przestępczością zapobieganie werbowaniu dzieci przez zorganizowane grupy przestępcze i terrorystyczne oraz reagowanie na to zjawisko to obszar priorytetowy; apeluje, aby w planie działania przewidziano specjalny filar dotyczący zapobiegania, obejmujący mechanizmy wczesnego ostrzegania z udziałem szkół, służb socjalnych i rodzin, oraz podejście skoncentrowane na młodzieży, którego głównym elementem będzie rozwijanie umiejętności życiowych poprzez bezpośrednie zaangażowanie społeczności;</w:t>
      </w:r>
    </w:p>
    <w:p w:rsidR="007324A9" w:rsidRPr="00DE51AD" w:rsidP="007324A9" w14:paraId="5D73809D" w14:textId="77777777">
      <w:pPr>
        <w:pStyle w:val="NormalHanging12a"/>
        <w:rPr>
          <w:spacing w:val="-2"/>
        </w:rPr>
      </w:pPr>
      <w:r w:rsidRPr="00DE51AD">
        <w:t>5.</w:t>
      </w:r>
      <w:r w:rsidRPr="00DE51AD">
        <w:tab/>
        <w:t>wzywa Komisję do zajęcia się problemem werbowania dzieci przez zorganizowane grupy przestępcze również w kontekście przyszłego wniosku ustawodawczego w sprawie aktualizacji przepisów dotyczących przestępczości zorganizowanej; zwraca się do Komisji o rozważenie włączenia do tego wniosku konkretnych przepisów, takich jak okoliczności obciążające związane z rekrutacją dzieci; ponawia w związku z tym swój apel o ustanowienie nowej wspólnej definicji organizacji przestępczej, uwzględniającej również stosowanie przemocy, korupcję lub zastraszanie przez grupy przestępcze;</w:t>
      </w:r>
    </w:p>
    <w:p w:rsidR="007324A9" w:rsidRPr="00DE51AD" w:rsidP="007324A9" w14:paraId="3319E42C" w14:textId="77777777">
      <w:pPr>
        <w:pStyle w:val="NormalHanging12a"/>
        <w:rPr>
          <w:spacing w:val="-2"/>
        </w:rPr>
      </w:pPr>
      <w:r w:rsidRPr="00DE51AD">
        <w:t>6.</w:t>
      </w:r>
      <w:r w:rsidRPr="00DE51AD">
        <w:tab/>
        <w:t>wzywa Komisję do jak najszybszego opublikowania wniosku ustawodawczego dotyczącego przeglądu unijnej dyrektywy w sprawie wyrobów pirotechnicznych</w:t>
      </w:r>
      <w:r>
        <w:rPr>
          <w:rStyle w:val="FootnoteReference"/>
        </w:rPr>
        <w:footnoteReference w:id="7"/>
      </w:r>
      <w:r w:rsidRPr="00DE51AD">
        <w:t xml:space="preserve"> w celu zajęcia się kwestią używania środków pirotechnicznych jako broni, w tym wykorzystywania młodych ludzi znajdujących się w trudnej sytuacji; zachęca państwa członkowskie do zacieśnienia współpracy z Europolem i </w:t>
      </w:r>
      <w:r w:rsidRPr="00DE51AD">
        <w:t>Eurojustem</w:t>
      </w:r>
      <w:r w:rsidRPr="00DE51AD">
        <w:t>, zwłaszcza w portach, węzłach logistycznych i na obszarach miejskich ze społecznościami znajdującymi się w trudnej sytuacji, poprzez wymianę najlepszych praktyk i zapewnienie szkoleń w zakresie identyfikowania i zgłaszania podejrzanych działań z udziałem dzieci;</w:t>
      </w:r>
    </w:p>
    <w:p w:rsidR="007324A9" w:rsidRPr="00DE51AD" w:rsidP="007324A9" w14:paraId="03533D5C" w14:textId="77777777">
      <w:pPr>
        <w:pStyle w:val="NormalHanging12a"/>
        <w:rPr>
          <w:spacing w:val="-2"/>
        </w:rPr>
      </w:pPr>
      <w:r w:rsidRPr="00DE51AD">
        <w:t>7.</w:t>
      </w:r>
      <w:r w:rsidRPr="00DE51AD">
        <w:tab/>
        <w:t xml:space="preserve">wzywa Komisję i państwa członkowskie do uznania zastraszania związanego z narkotykami za sprawdzony sposób rekrutacji do zorganizowanych grup przestępczych; wzywa państwa członkowskie do dopilnowania, aby krajowe strategie mające zapobiegać rekrutacji dzieci wyraźnie uwzględniały </w:t>
      </w:r>
      <w:r w:rsidRPr="00DE51AD">
        <w:t>międzyagencyjne</w:t>
      </w:r>
      <w:r w:rsidRPr="00DE51AD">
        <w:t xml:space="preserve"> działania podejmowane w odpowiedzi na zastraszanie związane z narkotykami w oparciu o pojawiające się modele najlepszych praktyk;</w:t>
      </w:r>
    </w:p>
    <w:p w:rsidR="007324A9" w:rsidRPr="00DE51AD" w:rsidP="007324A9" w14:paraId="2B65AFF1" w14:textId="77777777">
      <w:pPr>
        <w:pStyle w:val="NormalHanging12a"/>
        <w:rPr>
          <w:bCs/>
          <w:spacing w:val="-2"/>
        </w:rPr>
      </w:pPr>
      <w:r w:rsidRPr="00DE51AD">
        <w:t>8.</w:t>
      </w:r>
      <w:r w:rsidRPr="00DE51AD">
        <w:tab/>
        <w:t xml:space="preserve">wzywa do przyjęcia podejścia, w którego centrum będzie zapobieganie i międzysektorowe zintegrowane systemy ochrony dzieci uwzględniające aspekt płci i doświadczenie traumy, ukierunkowane na wczesną identyfikację zagrożonych dzieci, interwencje na poziomie społeczności lokalnych oraz wzmacnianie rodzin i usług społecznych; podkreśla pozytywną rolę sportu, stowarzyszeń edukacyjnych i </w:t>
      </w:r>
      <w:r w:rsidRPr="00DE51AD">
        <w:t>organizacji społeczności lokalnych w tworzeniu bezpiecznego, zdrowego i integracyjnego środowiska;</w:t>
      </w:r>
    </w:p>
    <w:p w:rsidR="007324A9" w:rsidRPr="00DE51AD" w:rsidP="007324A9" w14:paraId="771B68E5" w14:textId="77777777">
      <w:pPr>
        <w:pStyle w:val="NormalHanging12a"/>
      </w:pPr>
      <w:r w:rsidRPr="00DE51AD">
        <w:t>9.</w:t>
      </w:r>
      <w:r w:rsidRPr="00DE51AD">
        <w:tab/>
        <w:t xml:space="preserve">uważa, że transgraniczny charakter przestępczości zorganizowanej sprawia, że czysto krajowe działania w zakresie ochrony ofiar są nieodpowiednie dla dzieci i młodzieży; wzywa do zacieśnienia współpracy między sektorem bezpieczeństwa, wymiarem sprawiedliwości, placówkami ochrony dzieci, placówkami oświatowymi i służbą zdrowia, a także partnerstwami publiczno-prywatnymi, aby stworzyć zintegrowane i międzysektorowe ramy ochrony dla dzieci, zarówno w </w:t>
      </w:r>
      <w:r w:rsidRPr="00DE51AD">
        <w:t>internecie</w:t>
      </w:r>
      <w:r w:rsidRPr="00DE51AD">
        <w:t>, jak i poza nim;</w:t>
      </w:r>
    </w:p>
    <w:p w:rsidR="007324A9" w:rsidRPr="00DE51AD" w:rsidP="007324A9" w14:paraId="719420CF" w14:textId="77777777">
      <w:pPr>
        <w:pStyle w:val="NormalHanging12a"/>
        <w:rPr>
          <w:spacing w:val="-2"/>
        </w:rPr>
      </w:pPr>
      <w:r w:rsidRPr="00DE51AD">
        <w:t>10.</w:t>
      </w:r>
      <w:r w:rsidRPr="00DE51AD">
        <w:tab/>
        <w:t>podkreśla, że internetowy wymiar rekrutacji dzieci jest obecnie centralnym elementem modeli operacyjnych zorganizowanych grup przestępczych i terrorystycznych, które systematycznie wykorzystują usługi cyfrowe do identyfikacji dzieci, namierzania ich, zdobywania ich zaufania, manipulowania nimi i przymuszania ich; podkreśla, że internetowa rekrutacja dzieci przez zorganizowane siatki przestępcze powoduje, że przepisy są słabiej egzekwowane ze względu na ograniczoną współpracę platform; wzywa Komisję i państwa członkowskie do dopilnowania, by obecne obowiązki platform były egzekwowane;</w:t>
      </w:r>
    </w:p>
    <w:p w:rsidR="007324A9" w:rsidRPr="00DE51AD" w:rsidP="007324A9" w14:paraId="5ABB9CB5" w14:textId="77777777">
      <w:pPr>
        <w:pStyle w:val="NormalHanging12a"/>
      </w:pPr>
      <w:r w:rsidRPr="00DE51AD">
        <w:rPr>
          <w:snapToGrid w:val="0"/>
        </w:rPr>
        <w:t>11.</w:t>
      </w:r>
      <w:r w:rsidRPr="00DE51AD">
        <w:rPr>
          <w:snapToGrid w:val="0"/>
        </w:rPr>
        <w:tab/>
      </w:r>
      <w:r w:rsidRPr="00DE51AD">
        <w:t>wzywa Komisję i państwa członkowskie do zapewnienia solidnego, spójnego i zgodnego z prawami dziecka egzekwowania aktu o usługach cyfrowych zgodnie z wytycznymi Komisji w sprawie ochrony małoletnich;</w:t>
      </w:r>
    </w:p>
    <w:p w:rsidR="007324A9" w:rsidRPr="00DE51AD" w:rsidP="007324A9" w14:paraId="6A77C12A" w14:textId="77777777">
      <w:pPr>
        <w:pStyle w:val="NormalHanging12a"/>
      </w:pPr>
      <w:bookmarkStart w:id="8" w:name="_Hlk231893097"/>
      <w:r w:rsidRPr="00DE51AD">
        <w:rPr>
          <w:snapToGrid w:val="0"/>
        </w:rPr>
        <w:t>12.</w:t>
      </w:r>
      <w:r w:rsidRPr="00DE51AD">
        <w:rPr>
          <w:snapToGrid w:val="0"/>
        </w:rPr>
        <w:tab/>
      </w:r>
      <w:r w:rsidRPr="00DE51AD">
        <w:t xml:space="preserve">wzywa Komisję do egzekwowania wszystkich unijnych przepisów cyfrowych oraz do rozszerzenia, w razie potrzeby, obowiązków platform w zakresie podejmowania działań przeciwko wykorzystywaniu i rekrutacji dzieci, a także do wzmocnienia ochrony małoletnich w </w:t>
      </w:r>
      <w:r w:rsidRPr="00DE51AD">
        <w:t>internecie</w:t>
      </w:r>
      <w:r w:rsidRPr="00DE51AD">
        <w:t xml:space="preserve"> za pomocą planowanego aktu w sprawie sprawiedliwości cyfrowej poprzez zlikwidowanie luk regulacyjnych w obszarach takich jak bezpieczeństwo na etapie projektowania, ustawienia domyślne dostosowane do wieku i ukierunkowane praktyki handlowe z myślą o dzieciach przy jednoczesnym dbaniu o to, aby nowe środki były proporcjonalne, oparte na dowodach i spójne z szerszymi cyfrowymi ramami regulacyjnymi;</w:t>
      </w:r>
      <w:bookmarkEnd w:id="8"/>
    </w:p>
    <w:p w:rsidR="007324A9" w:rsidRPr="00DE51AD" w:rsidP="007324A9" w14:paraId="0F3A5A4D" w14:textId="77777777">
      <w:pPr>
        <w:pStyle w:val="NormalHanging12a"/>
      </w:pPr>
      <w:r w:rsidRPr="00DE51AD">
        <w:rPr>
          <w:snapToGrid w:val="0"/>
        </w:rPr>
        <w:t>13.</w:t>
      </w:r>
      <w:r w:rsidRPr="00DE51AD">
        <w:rPr>
          <w:snapToGrid w:val="0"/>
        </w:rPr>
        <w:tab/>
      </w:r>
      <w:r w:rsidRPr="00DE51AD">
        <w:t xml:space="preserve">podkreśla rosnące zagrożenie przestępczością jako usługą, w tym przemocą na zamówienie, w ramach której młodzi ludzie są rekrutowani online do wykonywania zadań polegających na stosowaniu przemocy; z zadowoleniem przyjmuje działalność operacyjnej grupy zadaniowej Europolu GRIMM i wzywa państwa członkowskie, Europol i </w:t>
      </w:r>
      <w:r w:rsidRPr="00DE51AD">
        <w:t>Eurojust</w:t>
      </w:r>
      <w:r w:rsidRPr="00DE51AD">
        <w:t xml:space="preserve"> do wzmocnienia wspólnych dochodzeń wymierzonych przeciwko osobom rekrutującym i podżegającym oraz podmiotom wysokiego szczebla bez ograniczania działań w zakresie egzekwowania prawa do nieletnich popełniających przestępstwa;</w:t>
      </w:r>
    </w:p>
    <w:p w:rsidR="007324A9" w:rsidP="007324A9" w14:paraId="4CA700FB" w14:textId="551BE8D3">
      <w:pPr>
        <w:pStyle w:val="NormalHanging12a"/>
      </w:pPr>
      <w:r w:rsidRPr="00DE51AD">
        <w:rPr>
          <w:snapToGrid w:val="0"/>
        </w:rPr>
        <w:t>14.</w:t>
      </w:r>
      <w:r w:rsidRPr="00DE51AD">
        <w:rPr>
          <w:snapToGrid w:val="0"/>
        </w:rPr>
        <w:tab/>
      </w:r>
      <w:r w:rsidRPr="00DE51AD">
        <w:t xml:space="preserve">podkreśla, że dzieci zaangażowane w działalność przestępczą w wyniku rekrutacji muszą być traktowane </w:t>
      </w:r>
      <w:r w:rsidRPr="00DE51AD" w:rsidR="003E3C45">
        <w:t xml:space="preserve">zgodnie z normami międzynarodowymi </w:t>
      </w:r>
      <w:r w:rsidRPr="00DE51AD">
        <w:t>; przypomina, że współpraca z grupami stosującymi przemoc często opiera się na stopniowym przymuszaniu i dynamice grupowej, a nie na względach ideologicznych;</w:t>
      </w:r>
    </w:p>
    <w:p w:rsidR="003E3C45" w:rsidRPr="00DE51AD" w:rsidP="007324A9" w14:paraId="25D2457F" w14:textId="14DEB452">
      <w:pPr>
        <w:pStyle w:val="NormalHanging12a"/>
      </w:pPr>
      <w:r>
        <w:t>15</w:t>
      </w:r>
      <w:r w:rsidRPr="003E3C45">
        <w:t>.</w:t>
      </w:r>
      <w:r w:rsidRPr="003E3C45">
        <w:tab/>
        <w:t>podkreśla, że zawsze należy odpowiednio uwzględniać indywidualne okoliczności każdej sprawy, w tym przymus lub wyzysk, a także wagę popełnionego przestępstwa, poziom ryzyka stwarzanego przez sprawcę dla bezpieczeństwa publicznego oraz obowiązujące prawo unijne i krajowe;</w:t>
      </w:r>
    </w:p>
    <w:p w:rsidR="007324A9" w:rsidRPr="00DE51AD" w:rsidP="007324A9" w14:paraId="3DDD8230" w14:textId="6ACB263C">
      <w:pPr>
        <w:pStyle w:val="NormalHanging12a"/>
      </w:pPr>
      <w:r>
        <w:rPr>
          <w:snapToGrid w:val="0"/>
        </w:rPr>
        <w:t>16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>apeluje o systemy wymiaru sprawiedliwości przyjazne dziecku oraz uwzględniające aspekt płci i doświadczenie traumy, a także o dostosowane do potrzeb międzysektorowe programy reintegracji uwzględniające doświadczenie traumy, w tym dostęp do edukacji, zdrowie psychiczne, wsparcie psychospołeczne, usługi w zakresie powrotu do zdrowia i rehabilitacji, ochronę przed odwetem, w tym dla rodzin, możliwości znalezienia godnego zatrudnienia oraz środki zapobiegające stygmatyzacji i powtórnej rekrutacji; przypomina, że zgodnie z dyrektywą (UE) 2016/800 pozbawienie dziecka wolności, w szczególności zatrzymanie, powinno być stosowane wyłącznie w ostateczności, a właściwe organy państw członkowskich powinny w miarę możliwości korzystać ze środków alternatywnych; zauważa, że w niektórych państwach członkowskich skuteczna okazała się sprawiedliwość naprawcza;</w:t>
      </w:r>
    </w:p>
    <w:p w:rsidR="007324A9" w:rsidRPr="00DE51AD" w:rsidP="007324A9" w14:paraId="75D83F94" w14:textId="3819B665">
      <w:pPr>
        <w:pStyle w:val="NormalHanging12a"/>
      </w:pPr>
      <w:r>
        <w:rPr>
          <w:snapToGrid w:val="0"/>
        </w:rPr>
        <w:t>17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 xml:space="preserve">wzywa państwa członkowskie do usprawnienia </w:t>
      </w:r>
      <w:r w:rsidRPr="00DE51AD">
        <w:t>interoperacyjnego</w:t>
      </w:r>
      <w:r w:rsidRPr="00DE51AD">
        <w:t xml:space="preserve">, międzysektorowego gromadzenia i wymiany danych na temat werbowania dzieci do zorganizowanych grup przestępczych i terrorystycznych, w tym </w:t>
      </w:r>
      <w:r w:rsidRPr="00DE51AD">
        <w:t>zdezagregowanych</w:t>
      </w:r>
      <w:r w:rsidRPr="00DE51AD">
        <w:t xml:space="preserve"> i zharmonizowanych danych </w:t>
      </w:r>
      <w:r w:rsidRPr="00DE51AD">
        <w:t>ogólnounijnych</w:t>
      </w:r>
      <w:r w:rsidRPr="00DE51AD">
        <w:t>, aby lepiej zrozumieć tendencje i czynniki ryzyka; podkreśla, że gromadzenie, przetwarzanie lub udostępnianie danych dotyczących dzieci musi być w pełni zgodne z przepisami o ochronie danych i zasadą niedyskryminacji;</w:t>
      </w:r>
    </w:p>
    <w:p w:rsidR="007324A9" w:rsidRPr="00DE51AD" w:rsidP="007324A9" w14:paraId="040C104C" w14:textId="6CA849A0">
      <w:pPr>
        <w:pStyle w:val="NormalHanging12a"/>
      </w:pPr>
      <w:r>
        <w:rPr>
          <w:snapToGrid w:val="0"/>
        </w:rPr>
        <w:t>18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>popiera zwiększenie skali udanych inicjatyw opartych na dowodach, takich jak projekt EU-UNODC STRIVE dotyczący nieletnich i jego strategiczny następca, czyli inicjatywa EU-UNODC na rzecz ochrony przyszłości, w tym w sytuacjach niestabilności i konfliktu;</w:t>
      </w:r>
    </w:p>
    <w:p w:rsidR="007324A9" w:rsidRPr="00DE51AD" w:rsidP="007324A9" w14:paraId="5DD9ED14" w14:textId="26C56E62">
      <w:pPr>
        <w:pStyle w:val="NormalHanging12a"/>
      </w:pPr>
      <w:r>
        <w:rPr>
          <w:snapToGrid w:val="0"/>
        </w:rPr>
        <w:t>19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>wzywa do zacieśnienia współpracy międzynarodowej z krajami partnerskimi w celu zwalczania transgranicznych sieci rekrutacyjnych oraz zapobiegania przenoszeniu przestępczego wyzysku poza granice kraju;</w:t>
      </w:r>
    </w:p>
    <w:p w:rsidR="007324A9" w:rsidRPr="00DE51AD" w:rsidP="007324A9" w14:paraId="0C68FE52" w14:textId="791BDFEC">
      <w:pPr>
        <w:pStyle w:val="NormalHanging12a"/>
      </w:pPr>
      <w:r>
        <w:rPr>
          <w:snapToGrid w:val="0"/>
        </w:rPr>
        <w:t>20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>podkreśla, że w ramach takiej współpracy należy zwrócić szczególną uwagę na dzieci znajdujące się w szczególnie trudnej sytuacji, w tym dzieci bez opieki i dzieci migrantów, oraz zapewnić dostęp do bezpiecznych kanałów zgłaszania nieprawidłowości, opieki, pomocy prawnej i opartych na prawach transgranicznych mechanizmów ochrony dzieci;</w:t>
      </w:r>
    </w:p>
    <w:p w:rsidR="007324A9" w:rsidRPr="00DE51AD" w:rsidP="007324A9" w14:paraId="32F15267" w14:textId="1B9D2A97">
      <w:pPr>
        <w:pStyle w:val="NormalHanging12a"/>
      </w:pPr>
      <w:r>
        <w:rPr>
          <w:snapToGrid w:val="0"/>
        </w:rPr>
        <w:t>21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>podkreśla, jak ważne jest zajęcie się podstawowymi przyczynami, w tym ubóstwem, nierównością, wykluczeniem, brakiem edukacji, narażeniem na przemoc i niedoinwestowaniem usług publicznych; wzywa Komisję i państwa członkowskie do zwiększenia wsparcia finansowego dla organizacji społeczeństwa obywatelskiego oraz na rzecz inicjatyw społecznościowych, stowarzyszeń sportowych i programów edukacyjnych na obszarach najbardziej narażonych na rekrutację do zorganizowanych grup przestępczych, aby móc oferować wiarygodne alternatywy dla kariery przestępczej;</w:t>
      </w:r>
    </w:p>
    <w:p w:rsidR="007324A9" w:rsidRPr="00DE51AD" w:rsidP="007324A9" w14:paraId="6EF2FF40" w14:textId="4E96B156">
      <w:pPr>
        <w:pStyle w:val="NormalHanging12a"/>
      </w:pPr>
      <w:r>
        <w:rPr>
          <w:snapToGrid w:val="0"/>
        </w:rPr>
        <w:t>22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 xml:space="preserve">jest szczególnie zaniepokojony skalą ataków na dziewczęta i młode kobiety oraz niewspółmiernym wykorzystywaniem ich przez zorganizowane siatki przestępcze, w tym przez nagabywanie, handel ludźmi i wykorzystywanie seksualne; podkreśla, że dziewczętom jest szczególnie trudno uciec od przymusu kryminalnego, uzyskać dostęp do wymiaru sprawiedliwości, powrócić do zdrowia i uzyskać dostęp do środków reintegracyjnych, a także wzywa państwa członkowskie do dopilnowania, aby wszystkie środki zapobiegania, ochrony i wsparcia uwzględniały aspekt płci, a zwłaszcza podatność dziewcząt na zagrożenia i ich potrzeby; przypomina w związku z </w:t>
      </w:r>
      <w:r w:rsidRPr="00DE51AD">
        <w:t>tym o obowiązkach określonych w dyrektywie w sprawie zwalczania handlu ludźmi</w:t>
      </w:r>
      <w:r>
        <w:rPr>
          <w:rStyle w:val="FootnoteReference"/>
        </w:rPr>
        <w:footnoteReference w:id="8"/>
      </w:r>
      <w:r w:rsidRPr="00DE51AD">
        <w:t>;</w:t>
      </w:r>
    </w:p>
    <w:p w:rsidR="007324A9" w:rsidRPr="00DE51AD" w:rsidP="007324A9" w14:paraId="7B371F2D" w14:textId="3B5BD8EA">
      <w:pPr>
        <w:pStyle w:val="NormalHanging12a"/>
      </w:pPr>
      <w:r>
        <w:rPr>
          <w:snapToGrid w:val="0"/>
        </w:rPr>
        <w:t>23</w:t>
      </w:r>
      <w:r w:rsidRPr="00DE51AD">
        <w:rPr>
          <w:snapToGrid w:val="0"/>
        </w:rPr>
        <w:t>.</w:t>
      </w:r>
      <w:r w:rsidRPr="00DE51AD">
        <w:rPr>
          <w:snapToGrid w:val="0"/>
        </w:rPr>
        <w:tab/>
      </w:r>
      <w:r w:rsidRPr="00DE51AD">
        <w:t>wzywa Komisję i państwa członkowskie do przeznaczania odpowiednich środków finansowych w ramach stosownych programów UE na zapobieganie werbowaniu dzieci przez zorganizowane grupy przestępcze i terrorystyczne oraz skuteczne reagowanie w obliczu tego zjawiska, a w szczególności do wspierania sieci numerów interwencyjnych 116000 w sprawie zaginionych dzieci jako kluczowych partnerów wielopodmiotowych w identyfikowaniu zagrożonych dzieci;</w:t>
      </w:r>
    </w:p>
    <w:p w:rsidR="00DE51AD" w:rsidRPr="00DE51AD" w:rsidP="00DE51AD" w14:paraId="0CB3F4F7" w14:textId="0EFADBF1">
      <w:pPr>
        <w:pStyle w:val="NormalHanging12a"/>
      </w:pPr>
      <w:r>
        <w:rPr>
          <w:snapToGrid w:val="0"/>
        </w:rPr>
        <w:t>24</w:t>
      </w:r>
      <w:r w:rsidRPr="00DE51AD" w:rsidR="007324A9">
        <w:rPr>
          <w:snapToGrid w:val="0"/>
        </w:rPr>
        <w:t>.</w:t>
      </w:r>
      <w:r w:rsidRPr="00DE51AD" w:rsidR="007324A9">
        <w:rPr>
          <w:snapToGrid w:val="0"/>
        </w:rPr>
        <w:tab/>
      </w:r>
      <w:r w:rsidRPr="00DE51AD" w:rsidR="007324A9">
        <w:t>zobowiązuje swoją przewodniczącą do przekazania niniejszej rezolucji Radzie, Komisji, rządom i parlamentom państw członkowskich, Europolowi oraz Biuru Narodów Zjednoczonych ds. Narkotyków i Przestępczości.</w:t>
      </w:r>
    </w:p>
    <w:p w:rsidR="00E365E1" w:rsidRPr="00DE51AD" w:rsidP="00A73915" w14:paraId="0C5FCBCF" w14:textId="6F48EFBE"/>
    <w:sectPr w:rsidSect="00DE51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51AD" w14:paraId="5B78A44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51AD" w14:paraId="368563C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51AD" w14:paraId="2E7FD54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73915" w:rsidRPr="00DE51AD" w14:paraId="17420547" w14:textId="77777777">
      <w:r w:rsidRPr="00DE51AD">
        <w:separator/>
      </w:r>
    </w:p>
  </w:footnote>
  <w:footnote w:type="continuationSeparator" w:id="1">
    <w:p w:rsidR="00A73915" w:rsidRPr="00DE51AD" w14:paraId="24BDB3D8" w14:textId="77777777">
      <w:r w:rsidRPr="00DE51AD">
        <w:continuationSeparator/>
      </w:r>
    </w:p>
  </w:footnote>
  <w:footnote w:id="2">
    <w:p w:rsidR="007324A9" w:rsidRPr="00DE51AD" w:rsidP="00DE51AD" w14:paraId="3F4F3FD2" w14:textId="205F7052">
      <w:pPr>
        <w:pStyle w:val="FootnoteText"/>
        <w:ind w:left="567" w:hanging="567"/>
        <w:rPr>
          <w:sz w:val="24"/>
          <w:lang w:val="pl-PL"/>
        </w:rPr>
      </w:pPr>
      <w:r w:rsidRPr="00DE51AD">
        <w:rPr>
          <w:rStyle w:val="FootnoteReference"/>
          <w:sz w:val="24"/>
          <w:lang w:val="pl-PL"/>
        </w:rPr>
        <w:footnoteRef/>
      </w:r>
      <w:r w:rsidRPr="00DE51AD" w:rsidR="00DE51AD">
        <w:rPr>
          <w:sz w:val="24"/>
          <w:lang w:val="pl-PL"/>
        </w:rPr>
        <w:t xml:space="preserve"> </w:t>
      </w:r>
      <w:r w:rsidRPr="00DE51AD" w:rsidR="00DE51AD">
        <w:rPr>
          <w:sz w:val="24"/>
          <w:lang w:val="pl-PL"/>
        </w:rPr>
        <w:tab/>
      </w:r>
      <w:r w:rsidRPr="00DE51AD">
        <w:rPr>
          <w:sz w:val="24"/>
          <w:lang w:val="pl-PL"/>
        </w:rPr>
        <w:t xml:space="preserve">Dz.U. L 277 z 27.10.2022, s. 1, ELI: </w:t>
      </w:r>
      <w:hyperlink r:id="rId1" w:history="1">
        <w:r w:rsidRPr="00DE51AD">
          <w:rPr>
            <w:rStyle w:val="Hyperlink"/>
            <w:sz w:val="24"/>
            <w:lang w:val="pl-PL"/>
          </w:rPr>
          <w:t>http://data.europa.eu/eli/reg/2022/2065/oj</w:t>
        </w:r>
      </w:hyperlink>
      <w:r w:rsidRPr="00DE51AD">
        <w:rPr>
          <w:sz w:val="24"/>
          <w:lang w:val="pl-PL"/>
        </w:rPr>
        <w:t>.</w:t>
      </w:r>
    </w:p>
  </w:footnote>
  <w:footnote w:id="3">
    <w:p w:rsidR="007324A9" w:rsidRPr="003E3C45" w:rsidP="00DE51AD" w14:paraId="5E503354" w14:textId="1C90D643">
      <w:pPr>
        <w:pStyle w:val="FootnoteText"/>
        <w:ind w:left="567" w:hanging="567"/>
        <w:rPr>
          <w:sz w:val="24"/>
          <w:lang w:val="fi-FI"/>
        </w:rPr>
      </w:pPr>
      <w:r w:rsidRPr="00DE51AD">
        <w:rPr>
          <w:rStyle w:val="FootnoteReference"/>
          <w:sz w:val="24"/>
          <w:szCs w:val="16"/>
          <w:lang w:val="pl-PL"/>
        </w:rPr>
        <w:footnoteRef/>
      </w:r>
      <w:r w:rsidRPr="003E3C45" w:rsidR="00DE51AD">
        <w:rPr>
          <w:sz w:val="24"/>
          <w:lang w:val="fi-FI"/>
        </w:rPr>
        <w:t xml:space="preserve"> </w:t>
      </w:r>
      <w:r w:rsidRPr="003E3C45" w:rsidR="00DE51AD">
        <w:rPr>
          <w:sz w:val="24"/>
          <w:lang w:val="fi-FI"/>
        </w:rPr>
        <w:tab/>
      </w:r>
      <w:r w:rsidRPr="003E3C45">
        <w:rPr>
          <w:sz w:val="24"/>
          <w:lang w:val="fi-FI"/>
        </w:rPr>
        <w:t xml:space="preserve">Dz.U. C, C/2025/5519, 10.10.2025, ELI: </w:t>
      </w:r>
      <w:hyperlink r:id="rId2" w:history="1">
        <w:r w:rsidRPr="003E3C45">
          <w:rPr>
            <w:rStyle w:val="Hyperlink"/>
            <w:sz w:val="24"/>
            <w:lang w:val="fi-FI"/>
          </w:rPr>
          <w:t>http://data.europa.eu/eli/C/2025/5519/oj</w:t>
        </w:r>
      </w:hyperlink>
      <w:r w:rsidRPr="003E3C45">
        <w:rPr>
          <w:sz w:val="24"/>
          <w:lang w:val="fi-FI"/>
        </w:rPr>
        <w:t xml:space="preserve">. </w:t>
      </w:r>
    </w:p>
  </w:footnote>
  <w:footnote w:id="4">
    <w:p w:rsidR="007324A9" w:rsidRPr="00DE51AD" w:rsidP="00DE51AD" w14:paraId="45CE07C4" w14:textId="591BA81F">
      <w:pPr>
        <w:pStyle w:val="FootnoteText"/>
        <w:ind w:left="567" w:hanging="567"/>
        <w:rPr>
          <w:sz w:val="24"/>
          <w:lang w:val="pl-PL"/>
        </w:rPr>
      </w:pPr>
      <w:r w:rsidRPr="00DE51AD">
        <w:rPr>
          <w:rStyle w:val="FootnoteReference"/>
          <w:sz w:val="24"/>
          <w:lang w:val="pl-PL"/>
        </w:rPr>
        <w:footnoteRef/>
      </w:r>
      <w:r w:rsidRPr="00DE51AD" w:rsidR="00DE51AD">
        <w:rPr>
          <w:sz w:val="24"/>
          <w:lang w:val="pl-PL"/>
        </w:rPr>
        <w:t xml:space="preserve"> </w:t>
      </w:r>
      <w:r w:rsidRPr="00DE51AD" w:rsidR="00DE51AD">
        <w:rPr>
          <w:sz w:val="24"/>
          <w:lang w:val="pl-PL"/>
        </w:rPr>
        <w:tab/>
      </w:r>
      <w:r w:rsidRPr="00DE51AD">
        <w:rPr>
          <w:sz w:val="24"/>
          <w:lang w:val="pl-PL"/>
        </w:rPr>
        <w:t>Teksty przyjęte, P10_TA(2026)0007.</w:t>
      </w:r>
    </w:p>
  </w:footnote>
  <w:footnote w:id="5">
    <w:p w:rsidR="007324A9" w:rsidRPr="00DE51AD" w:rsidP="00DE51AD" w14:paraId="0C0CB369" w14:textId="44AE2EFA">
      <w:pPr>
        <w:pStyle w:val="FootnoteText"/>
        <w:ind w:left="567" w:hanging="567"/>
        <w:rPr>
          <w:sz w:val="24"/>
          <w:lang w:val="pl-PL"/>
        </w:rPr>
      </w:pPr>
      <w:r w:rsidRPr="00DE51AD">
        <w:rPr>
          <w:rStyle w:val="FootnoteReference"/>
          <w:sz w:val="24"/>
          <w:lang w:val="pl-PL"/>
        </w:rPr>
        <w:footnoteRef/>
      </w:r>
      <w:r w:rsidRPr="00DE51AD" w:rsidR="00DE51AD">
        <w:rPr>
          <w:sz w:val="24"/>
          <w:lang w:val="pl-PL"/>
        </w:rPr>
        <w:t xml:space="preserve"> </w:t>
      </w:r>
      <w:r w:rsidRPr="00DE51AD" w:rsidR="00DE51AD">
        <w:rPr>
          <w:sz w:val="24"/>
          <w:lang w:val="pl-PL"/>
        </w:rPr>
        <w:tab/>
      </w:r>
      <w:r w:rsidRPr="00DE51AD">
        <w:rPr>
          <w:sz w:val="24"/>
          <w:lang w:val="pl-PL"/>
        </w:rPr>
        <w:t xml:space="preserve">Dz.U. L 132 z </w:t>
      </w:r>
      <w:r w:rsidRPr="00DE51AD">
        <w:rPr>
          <w:sz w:val="24"/>
          <w:lang w:val="pl-PL"/>
        </w:rPr>
        <w:t>21.5.2016</w:t>
      </w:r>
      <w:r w:rsidRPr="00DE51AD">
        <w:rPr>
          <w:sz w:val="24"/>
          <w:lang w:val="pl-PL"/>
        </w:rPr>
        <w:t xml:space="preserve">, s. 1, ELI: </w:t>
      </w:r>
      <w:hyperlink r:id="rId3" w:history="1">
        <w:r w:rsidRPr="00DE51AD">
          <w:rPr>
            <w:rStyle w:val="Hyperlink"/>
            <w:sz w:val="24"/>
            <w:lang w:val="pl-PL"/>
          </w:rPr>
          <w:t>http://data.europa.eu/eli/dir/2016/800/oj</w:t>
        </w:r>
      </w:hyperlink>
      <w:r w:rsidRPr="00DE51AD">
        <w:rPr>
          <w:sz w:val="24"/>
          <w:lang w:val="pl-PL"/>
        </w:rPr>
        <w:t>.</w:t>
      </w:r>
    </w:p>
  </w:footnote>
  <w:footnote w:id="6">
    <w:p w:rsidR="007324A9" w:rsidRPr="00DE51AD" w:rsidP="00DE51AD" w14:paraId="5E4B8860" w14:textId="4B898D1E">
      <w:pPr>
        <w:pStyle w:val="FootnoteText"/>
        <w:ind w:left="567" w:hanging="567"/>
        <w:rPr>
          <w:sz w:val="24"/>
          <w:lang w:val="pl-PL"/>
        </w:rPr>
      </w:pPr>
      <w:r w:rsidRPr="00DE51AD">
        <w:rPr>
          <w:rStyle w:val="FootnoteReference"/>
          <w:sz w:val="24"/>
          <w:lang w:val="pl-PL"/>
        </w:rPr>
        <w:footnoteRef/>
      </w:r>
      <w:r w:rsidRPr="00DE51AD" w:rsidR="00DE51AD">
        <w:rPr>
          <w:sz w:val="24"/>
          <w:lang w:val="pl-PL"/>
        </w:rPr>
        <w:t xml:space="preserve"> </w:t>
      </w:r>
      <w:r w:rsidRPr="00DE51AD" w:rsidR="00DE51AD">
        <w:rPr>
          <w:sz w:val="24"/>
          <w:lang w:val="pl-PL"/>
        </w:rPr>
        <w:tab/>
      </w:r>
      <w:r w:rsidRPr="00DE51AD">
        <w:rPr>
          <w:sz w:val="24"/>
          <w:lang w:val="pl-PL"/>
        </w:rPr>
        <w:t>Sprawozdanie Europolu z 4 kwietnia 2024 r. pt. „</w:t>
      </w:r>
      <w:hyperlink r:id="rId4" w:tgtFrame="_blank" w:history="1">
        <w:r w:rsidRPr="00DE51AD">
          <w:rPr>
            <w:rStyle w:val="Hyperlink"/>
            <w:sz w:val="24"/>
            <w:lang w:val="pl-PL"/>
          </w:rPr>
          <w:t>Decoding</w:t>
        </w:r>
        <w:r w:rsidRPr="00DE51AD">
          <w:rPr>
            <w:rStyle w:val="Hyperlink"/>
            <w:sz w:val="24"/>
            <w:lang w:val="pl-PL"/>
          </w:rPr>
          <w:t xml:space="preserve"> the </w:t>
        </w:r>
        <w:r w:rsidRPr="00DE51AD">
          <w:rPr>
            <w:rStyle w:val="Hyperlink"/>
            <w:sz w:val="24"/>
            <w:lang w:val="pl-PL"/>
          </w:rPr>
          <w:t>EU’s</w:t>
        </w:r>
        <w:r w:rsidRPr="00DE51AD">
          <w:rPr>
            <w:rStyle w:val="Hyperlink"/>
            <w:sz w:val="24"/>
            <w:lang w:val="pl-PL"/>
          </w:rPr>
          <w:t xml:space="preserve"> most </w:t>
        </w:r>
        <w:r w:rsidRPr="00DE51AD">
          <w:rPr>
            <w:rStyle w:val="Hyperlink"/>
            <w:sz w:val="24"/>
            <w:lang w:val="pl-PL"/>
          </w:rPr>
          <w:t>threatening</w:t>
        </w:r>
        <w:r w:rsidRPr="00DE51AD">
          <w:rPr>
            <w:rStyle w:val="Hyperlink"/>
            <w:sz w:val="24"/>
            <w:lang w:val="pl-PL"/>
          </w:rPr>
          <w:t xml:space="preserve"> </w:t>
        </w:r>
        <w:r w:rsidRPr="00DE51AD">
          <w:rPr>
            <w:rStyle w:val="Hyperlink"/>
            <w:sz w:val="24"/>
            <w:lang w:val="pl-PL"/>
          </w:rPr>
          <w:t>criminal</w:t>
        </w:r>
        <w:r w:rsidRPr="00DE51AD">
          <w:rPr>
            <w:rStyle w:val="Hyperlink"/>
            <w:sz w:val="24"/>
            <w:lang w:val="pl-PL"/>
          </w:rPr>
          <w:t xml:space="preserve"> networks</w:t>
        </w:r>
      </w:hyperlink>
      <w:r w:rsidRPr="00DE51AD">
        <w:rPr>
          <w:sz w:val="24"/>
          <w:lang w:val="pl-PL"/>
        </w:rPr>
        <w:t>” [Rozszyfrowanie najgroźniejszych siatek przestępczych w UE], zaktualizowane w maju 2026 r.</w:t>
      </w:r>
    </w:p>
  </w:footnote>
  <w:footnote w:id="7">
    <w:p w:rsidR="007324A9" w:rsidRPr="00DE51AD" w:rsidP="00DE51AD" w14:paraId="12BBC4C9" w14:textId="12E3CE3B">
      <w:pPr>
        <w:pStyle w:val="FootnoteText"/>
        <w:ind w:left="567" w:hanging="567"/>
        <w:rPr>
          <w:sz w:val="24"/>
          <w:lang w:val="pl-PL"/>
        </w:rPr>
      </w:pPr>
      <w:r w:rsidRPr="00DE51AD">
        <w:rPr>
          <w:rStyle w:val="FootnoteReference"/>
          <w:sz w:val="24"/>
          <w:lang w:val="pl-PL"/>
        </w:rPr>
        <w:footnoteRef/>
      </w:r>
      <w:r w:rsidRPr="00DE51AD" w:rsidR="00DE51AD">
        <w:rPr>
          <w:sz w:val="24"/>
          <w:lang w:val="pl-PL"/>
        </w:rPr>
        <w:t xml:space="preserve"> </w:t>
      </w:r>
      <w:r w:rsidRPr="00DE51AD" w:rsidR="00DE51AD">
        <w:rPr>
          <w:sz w:val="24"/>
          <w:lang w:val="pl-PL"/>
        </w:rPr>
        <w:tab/>
      </w:r>
      <w:r w:rsidRPr="00DE51AD">
        <w:rPr>
          <w:sz w:val="24"/>
          <w:lang w:val="pl-PL"/>
        </w:rPr>
        <w:t>Dyrektywa Parlamentu Europejskiego i Rady 2013/29/UE z dnia 12 czerwca 2013 r. w sprawie harmonizacji ustawodawstw państw członkowskich odnoszących się do udostępniania na rynku wyrobów pirotechnicznych (Dz.U. L 178 z </w:t>
      </w:r>
      <w:r w:rsidRPr="00DE51AD">
        <w:rPr>
          <w:sz w:val="24"/>
          <w:lang w:val="pl-PL"/>
        </w:rPr>
        <w:t>28.6.2013</w:t>
      </w:r>
      <w:r w:rsidRPr="00DE51AD">
        <w:rPr>
          <w:sz w:val="24"/>
          <w:lang w:val="pl-PL"/>
        </w:rPr>
        <w:t xml:space="preserve">, s. 27, ELI: </w:t>
      </w:r>
      <w:hyperlink r:id="rId5" w:history="1">
        <w:r w:rsidRPr="00DE51AD">
          <w:rPr>
            <w:rStyle w:val="Hyperlink"/>
            <w:sz w:val="24"/>
            <w:lang w:val="pl-PL"/>
          </w:rPr>
          <w:t>http://data.europa.eu/eli/dir/2013/29/oj</w:t>
        </w:r>
      </w:hyperlink>
      <w:r w:rsidRPr="00DE51AD">
        <w:rPr>
          <w:sz w:val="24"/>
          <w:lang w:val="pl-PL"/>
        </w:rPr>
        <w:t>).</w:t>
      </w:r>
    </w:p>
  </w:footnote>
  <w:footnote w:id="8">
    <w:p w:rsidR="007324A9" w:rsidRPr="00DE51AD" w:rsidP="00DE51AD" w14:paraId="48791ACD" w14:textId="5CD300E6">
      <w:pPr>
        <w:pStyle w:val="FootnoteText"/>
        <w:ind w:left="567" w:hanging="567"/>
        <w:rPr>
          <w:sz w:val="24"/>
          <w:lang w:val="pl-PL"/>
        </w:rPr>
      </w:pPr>
      <w:r w:rsidRPr="00DE51AD">
        <w:rPr>
          <w:rStyle w:val="FootnoteReference"/>
          <w:sz w:val="24"/>
          <w:lang w:val="pl-PL"/>
        </w:rPr>
        <w:footnoteRef/>
      </w:r>
      <w:r w:rsidRPr="00DE51AD" w:rsidR="00DE51AD">
        <w:rPr>
          <w:sz w:val="24"/>
          <w:lang w:val="pl-PL"/>
        </w:rPr>
        <w:t xml:space="preserve"> </w:t>
      </w:r>
      <w:r w:rsidRPr="00DE51AD" w:rsidR="00DE51AD">
        <w:rPr>
          <w:sz w:val="24"/>
          <w:lang w:val="pl-PL"/>
        </w:rPr>
        <w:tab/>
      </w:r>
      <w:r w:rsidRPr="00DE51AD">
        <w:rPr>
          <w:sz w:val="24"/>
          <w:lang w:val="pl-PL"/>
        </w:rPr>
        <w:t xml:space="preserve">Dyrektywa Parlamentu Europejskiego i Rady (UE) 2024/1712 z dnia 13 czerwca 2024 r. w sprawie zmiany dyrektywy 2011/36/UE w sprawie zapobiegania handlowi ludźmi i zwalczania tego procederu oraz ochrony ofiar (Dz.U. L, 2024/1712, </w:t>
      </w:r>
      <w:r w:rsidRPr="00DE51AD">
        <w:rPr>
          <w:sz w:val="24"/>
          <w:lang w:val="pl-PL"/>
        </w:rPr>
        <w:t>24.6.2024</w:t>
      </w:r>
      <w:r w:rsidRPr="00DE51AD">
        <w:rPr>
          <w:sz w:val="24"/>
          <w:lang w:val="pl-PL"/>
        </w:rPr>
        <w:t xml:space="preserve">, ELI: </w:t>
      </w:r>
      <w:hyperlink r:id="rId6" w:history="1">
        <w:r w:rsidRPr="00DE51AD">
          <w:rPr>
            <w:rStyle w:val="Hyperlink"/>
            <w:sz w:val="24"/>
            <w:lang w:val="pl-PL"/>
          </w:rPr>
          <w:t>http://data.europa.eu/eli/dir/2024/1712/oj</w:t>
        </w:r>
      </w:hyperlink>
      <w:r w:rsidRPr="00DE51AD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51AD" w14:paraId="7E934FA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51AD" w14:paraId="2BDC6B7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51AD" w14:paraId="5125FD0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2922868">
    <w:abstractNumId w:val="9"/>
  </w:num>
  <w:num w:numId="2" w16cid:durableId="1757089202">
    <w:abstractNumId w:val="9"/>
  </w:num>
  <w:num w:numId="3" w16cid:durableId="462776256">
    <w:abstractNumId w:val="7"/>
  </w:num>
  <w:num w:numId="4" w16cid:durableId="223417840">
    <w:abstractNumId w:val="7"/>
  </w:num>
  <w:num w:numId="5" w16cid:durableId="1570118146">
    <w:abstractNumId w:val="6"/>
  </w:num>
  <w:num w:numId="6" w16cid:durableId="1338652559">
    <w:abstractNumId w:val="6"/>
  </w:num>
  <w:num w:numId="7" w16cid:durableId="131483519">
    <w:abstractNumId w:val="5"/>
  </w:num>
  <w:num w:numId="8" w16cid:durableId="995307945">
    <w:abstractNumId w:val="5"/>
  </w:num>
  <w:num w:numId="9" w16cid:durableId="1807625346">
    <w:abstractNumId w:val="4"/>
  </w:num>
  <w:num w:numId="10" w16cid:durableId="2052068748">
    <w:abstractNumId w:val="4"/>
  </w:num>
  <w:num w:numId="11" w16cid:durableId="1288704211">
    <w:abstractNumId w:val="8"/>
  </w:num>
  <w:num w:numId="12" w16cid:durableId="1956400019">
    <w:abstractNumId w:val="8"/>
  </w:num>
  <w:num w:numId="13" w16cid:durableId="979387467">
    <w:abstractNumId w:val="3"/>
  </w:num>
  <w:num w:numId="14" w16cid:durableId="225141214">
    <w:abstractNumId w:val="3"/>
  </w:num>
  <w:num w:numId="15" w16cid:durableId="1766148423">
    <w:abstractNumId w:val="2"/>
  </w:num>
  <w:num w:numId="16" w16cid:durableId="1915894981">
    <w:abstractNumId w:val="2"/>
  </w:num>
  <w:num w:numId="17" w16cid:durableId="1142501809">
    <w:abstractNumId w:val="1"/>
  </w:num>
  <w:num w:numId="18" w16cid:durableId="1409038772">
    <w:abstractNumId w:val="1"/>
  </w:num>
  <w:num w:numId="19" w16cid:durableId="1772891461">
    <w:abstractNumId w:val="0"/>
  </w:num>
  <w:num w:numId="20" w16cid:durableId="1134055013">
    <w:abstractNumId w:val="0"/>
  </w:num>
  <w:num w:numId="21" w16cid:durableId="1360739704">
    <w:abstractNumId w:val="9"/>
  </w:num>
  <w:num w:numId="22" w16cid:durableId="122695456">
    <w:abstractNumId w:val="7"/>
  </w:num>
  <w:num w:numId="23" w16cid:durableId="534928332">
    <w:abstractNumId w:val="6"/>
  </w:num>
  <w:num w:numId="24" w16cid:durableId="817649390">
    <w:abstractNumId w:val="5"/>
  </w:num>
  <w:num w:numId="25" w16cid:durableId="732192002">
    <w:abstractNumId w:val="4"/>
  </w:num>
  <w:num w:numId="26" w16cid:durableId="1245140890">
    <w:abstractNumId w:val="8"/>
  </w:num>
  <w:num w:numId="27" w16cid:durableId="888537651">
    <w:abstractNumId w:val="3"/>
  </w:num>
  <w:num w:numId="28" w16cid:durableId="2142765465">
    <w:abstractNumId w:val="2"/>
  </w:num>
  <w:num w:numId="29" w16cid:durableId="1025129657">
    <w:abstractNumId w:val="1"/>
  </w:num>
  <w:num w:numId="30" w16cid:durableId="1206790096">
    <w:abstractNumId w:val="0"/>
  </w:num>
  <w:num w:numId="31" w16cid:durableId="1096555081">
    <w:abstractNumId w:val="9"/>
  </w:num>
  <w:num w:numId="32" w16cid:durableId="264776079">
    <w:abstractNumId w:val="7"/>
  </w:num>
  <w:num w:numId="33" w16cid:durableId="1528636328">
    <w:abstractNumId w:val="6"/>
  </w:num>
  <w:num w:numId="34" w16cid:durableId="442499951">
    <w:abstractNumId w:val="5"/>
  </w:num>
  <w:num w:numId="35" w16cid:durableId="436412680">
    <w:abstractNumId w:val="4"/>
  </w:num>
  <w:num w:numId="36" w16cid:durableId="2082752189">
    <w:abstractNumId w:val="8"/>
  </w:num>
  <w:num w:numId="37" w16cid:durableId="1753816270">
    <w:abstractNumId w:val="3"/>
  </w:num>
  <w:num w:numId="38" w16cid:durableId="101995924">
    <w:abstractNumId w:val="2"/>
  </w:num>
  <w:num w:numId="39" w16cid:durableId="937117">
    <w:abstractNumId w:val="1"/>
  </w:num>
  <w:num w:numId="40" w16cid:durableId="230695517">
    <w:abstractNumId w:val="0"/>
  </w:num>
  <w:num w:numId="41" w16cid:durableId="1074398956">
    <w:abstractNumId w:val="10"/>
  </w:num>
  <w:num w:numId="42" w16cid:durableId="423232958">
    <w:abstractNumId w:val="10"/>
  </w:num>
  <w:num w:numId="43" w16cid:durableId="1806387009">
    <w:abstractNumId w:val="10"/>
  </w:num>
  <w:num w:numId="44" w16cid:durableId="7683587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C4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126"/>
    <w:rsid w:val="005C2568"/>
    <w:rsid w:val="005F1B17"/>
    <w:rsid w:val="005F3BB7"/>
    <w:rsid w:val="006037C0"/>
    <w:rsid w:val="006631B6"/>
    <w:rsid w:val="00680577"/>
    <w:rsid w:val="006F74FA"/>
    <w:rsid w:val="00731ADD"/>
    <w:rsid w:val="007324A9"/>
    <w:rsid w:val="00734777"/>
    <w:rsid w:val="00747932"/>
    <w:rsid w:val="00751A4A"/>
    <w:rsid w:val="00756632"/>
    <w:rsid w:val="00762C74"/>
    <w:rsid w:val="00786EC0"/>
    <w:rsid w:val="007B1E7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4F7"/>
    <w:rsid w:val="00930C23"/>
    <w:rsid w:val="0093193B"/>
    <w:rsid w:val="009509D8"/>
    <w:rsid w:val="00950B64"/>
    <w:rsid w:val="00981893"/>
    <w:rsid w:val="00A1687D"/>
    <w:rsid w:val="00A43E52"/>
    <w:rsid w:val="00A4678D"/>
    <w:rsid w:val="00A7391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1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AEE"/>
    <w:rsid w:val="00FB4360"/>
    <w:rsid w:val="00FD0C70"/>
  </w:rsids>
  <w:docVars>
    <w:docVar w:name="dvdocse" w:val="B10-0275/2026"/>
    <w:docVar w:name="dvlangue" w:val="PL"/>
    <w:docVar w:name="dvnumam" w:val="0"/>
    <w:docVar w:name="dvpe" w:val="783.329"/>
    <w:docVar w:name="dvtitre" w:val="Rezolucja Parlamentu Europejskiego z dnia  2026 r. w sprawie rekrutacji dzieci przez zorganizowane grupy przestępcze(2026/272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9B524ED"/>
  <w15:chartTrackingRefBased/>
  <w15:docId w15:val="{2E792043-A177-4F5D-9295-481DBFA8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24A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7324A9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324A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324A9"/>
    <w:rPr>
      <w:sz w:val="24"/>
      <w:lang w:val="pl-PL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7324A9"/>
    <w:pPr>
      <w:widowControl/>
      <w:spacing w:after="160" w:line="240" w:lineRule="exact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2/2065/oj" TargetMode="External" /><Relationship Id="rId2" Type="http://schemas.openxmlformats.org/officeDocument/2006/relationships/hyperlink" Target="http://data.europa.eu/eli/C/2025/5519/oj" TargetMode="External" /><Relationship Id="rId3" Type="http://schemas.openxmlformats.org/officeDocument/2006/relationships/hyperlink" Target="http://data.europa.eu/eli/dir/2016/800/oj" TargetMode="External" /><Relationship Id="rId4" Type="http://schemas.openxmlformats.org/officeDocument/2006/relationships/hyperlink" Target="https://www.europol.europa.eu/publication-events/main-reports/decoding-eus-most-threatening-criminal-networks" TargetMode="External" /><Relationship Id="rId5" Type="http://schemas.openxmlformats.org/officeDocument/2006/relationships/hyperlink" Target="http://data.europa.eu/eli/dir/2013/29/oj" TargetMode="External" /><Relationship Id="rId6" Type="http://schemas.openxmlformats.org/officeDocument/2006/relationships/hyperlink" Target="http://data.europa.eu/eli/dir/2024/171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2627</Words>
  <Characters>18196</Characters>
  <Application>Microsoft Office Word</Application>
  <DocSecurity>0</DocSecurity>
  <Lines>319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2026-07-20T08:22:00Z</dcterms:created>
  <dcterms:modified xsi:type="dcterms:W3CDTF">2026-07-20T08:22:00Z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B10-0275/2026</vt:lpwstr>
  </property>
  <property fmtid="{D5CDD505-2E9C-101B-9397-08002B2CF9AE}" pid="4" name="&lt;Type&gt;">
    <vt:lpwstr>RR</vt:lpwstr>
  </property>
</Properties>
</file>