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DFE46B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401E" w:rsidP="0010095E" w14:paraId="1EB832A0" w14:textId="77777777">
            <w:pPr>
              <w:pStyle w:val="EPName"/>
            </w:pPr>
            <w:r w:rsidRPr="0071401E">
              <w:t>Európsky parlament</w:t>
            </w:r>
          </w:p>
          <w:p w:rsidR="00751A4A" w:rsidRPr="0071401E" w:rsidP="005F1B17" w14:paraId="1B7AEC3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401E">
              <w:t>2024</w:t>
            </w:r>
            <w:r w:rsidRPr="0071401E" w:rsidR="00817416">
              <w:t>-202</w:t>
            </w:r>
            <w:r w:rsidRPr="007140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1401E" w:rsidP="0010095E" w14:paraId="55C47D0D" w14:textId="77777777">
            <w:pPr>
              <w:pStyle w:val="EPLogo"/>
            </w:pPr>
            <w:r w:rsidRPr="0071401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401E" w:rsidP="004C5D52" w14:paraId="4EEBE95E" w14:textId="77777777">
      <w:pPr>
        <w:pStyle w:val="LineTop"/>
      </w:pPr>
    </w:p>
    <w:p w:rsidR="00680577" w:rsidRPr="0071401E" w:rsidP="00680577" w14:paraId="4B64A3F9" w14:textId="77777777">
      <w:pPr>
        <w:pStyle w:val="EPBodyTA1"/>
      </w:pPr>
      <w:r w:rsidRPr="0071401E">
        <w:t>PRIJATÉ TEXTY</w:t>
      </w:r>
    </w:p>
    <w:p w:rsidR="00D058B8" w:rsidRPr="0071401E" w:rsidP="00D058B8" w14:paraId="6EF365B7" w14:textId="77777777">
      <w:pPr>
        <w:pStyle w:val="LineBottom"/>
      </w:pPr>
    </w:p>
    <w:p w:rsidR="003028F9" w:rsidRPr="0071401E" w:rsidP="003028F9" w14:paraId="0A920AA8" w14:textId="2EA46CB4">
      <w:pPr>
        <w:pStyle w:val="ATHeading1"/>
      </w:pPr>
      <w:bookmarkStart w:id="0" w:name="TANumber"/>
      <w:r w:rsidRPr="0071401E">
        <w:t>P10_TA(2026)0</w:t>
      </w:r>
      <w:r w:rsidRPr="0071401E" w:rsidR="00791021">
        <w:t>230</w:t>
      </w:r>
      <w:bookmarkEnd w:id="0"/>
    </w:p>
    <w:p w:rsidR="003028F9" w:rsidRPr="0071401E" w:rsidP="003028F9" w14:paraId="1FAF752C" w14:textId="77777777">
      <w:pPr>
        <w:pStyle w:val="ATHeading2"/>
      </w:pPr>
      <w:bookmarkStart w:id="1" w:name="title"/>
      <w:r w:rsidRPr="0071401E">
        <w:t>Nábor detí organizovaným zločinom</w:t>
      </w:r>
      <w:bookmarkEnd w:id="1"/>
    </w:p>
    <w:p w:rsidR="003028F9" w:rsidRPr="0071401E" w:rsidP="003028F9" w14:paraId="292EDDEC" w14:textId="77777777">
      <w:pPr>
        <w:rPr>
          <w:i/>
          <w:vanish/>
        </w:rPr>
      </w:pPr>
      <w:r>
        <w:rPr>
          <w:i/>
        </w:rPr>
        <w:fldChar w:fldCharType="begin"/>
      </w:r>
      <w:r w:rsidRPr="0071401E">
        <w:rPr>
          <w:i/>
        </w:rPr>
        <w:instrText xml:space="preserve"> TC"(</w:instrText>
      </w:r>
      <w:bookmarkStart w:id="2" w:name="DocNumber"/>
      <w:r w:rsidRPr="0071401E">
        <w:rPr>
          <w:i/>
        </w:rPr>
        <w:instrText>B10-0275/2026</w:instrText>
      </w:r>
      <w:bookmarkEnd w:id="2"/>
      <w:r w:rsidRPr="0071401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028F9" w:rsidRPr="0071401E" w:rsidP="003028F9" w14:paraId="06045E69" w14:textId="77777777">
      <w:pPr>
        <w:rPr>
          <w:vanish/>
        </w:rPr>
      </w:pPr>
      <w:bookmarkStart w:id="3" w:name="PE"/>
      <w:r w:rsidRPr="0071401E">
        <w:rPr>
          <w:vanish/>
        </w:rPr>
        <w:t>PE783.329</w:t>
      </w:r>
      <w:bookmarkEnd w:id="3"/>
    </w:p>
    <w:p w:rsidR="003028F9" w:rsidRPr="0071401E" w:rsidP="003028F9" w14:paraId="70A6940B" w14:textId="2BA95CAE">
      <w:pPr>
        <w:pStyle w:val="ATHeading3"/>
      </w:pPr>
      <w:bookmarkStart w:id="4" w:name="Sujet"/>
      <w:r w:rsidRPr="0071401E">
        <w:t>Uznesenie Európskeho parlamentu z</w:t>
      </w:r>
      <w:r w:rsidRPr="0071401E" w:rsidR="008465C5">
        <w:t> 18. júna</w:t>
      </w:r>
      <w:r w:rsidRPr="0071401E">
        <w:t xml:space="preserve"> 2026 o nábore detí organizovanou trestnou činnosťou</w:t>
      </w:r>
      <w:bookmarkEnd w:id="4"/>
      <w:r w:rsidRPr="0071401E">
        <w:t xml:space="preserve"> </w:t>
      </w:r>
      <w:bookmarkStart w:id="5" w:name="References"/>
      <w:r w:rsidRPr="0071401E">
        <w:t>(2026/2725(RSP))</w:t>
      </w:r>
      <w:bookmarkEnd w:id="5"/>
    </w:p>
    <w:p w:rsidR="00D80D51" w:rsidRPr="0071401E" w:rsidP="00D80D51" w14:paraId="2F052510" w14:textId="77777777">
      <w:pPr>
        <w:pStyle w:val="EPComma"/>
      </w:pPr>
      <w:bookmarkStart w:id="6" w:name="TextBodyBegin"/>
      <w:bookmarkEnd w:id="6"/>
      <w:r w:rsidRPr="0071401E">
        <w:rPr>
          <w:i/>
        </w:rPr>
        <w:t>Európsky parlament</w:t>
      </w:r>
      <w:r w:rsidRPr="0071401E">
        <w:t>,</w:t>
      </w:r>
    </w:p>
    <w:p w:rsidR="00D80D51" w:rsidRPr="0071401E" w:rsidP="00D80D51" w14:paraId="736BA350" w14:textId="77777777">
      <w:pPr>
        <w:pStyle w:val="NormalHanging12a"/>
        <w:rPr>
          <w:spacing w:val="-2"/>
        </w:rPr>
      </w:pPr>
      <w:r w:rsidRPr="0071401E">
        <w:t>–</w:t>
      </w:r>
      <w:r w:rsidRPr="0071401E">
        <w:tab/>
        <w:t>so zreteľom na Dohovor OSN o právach dieťaťa,</w:t>
      </w:r>
    </w:p>
    <w:p w:rsidR="00D80D51" w:rsidRPr="0071401E" w:rsidP="00D80D51" w14:paraId="03651F5D" w14:textId="77777777">
      <w:pPr>
        <w:pStyle w:val="NormalHanging12a"/>
        <w:rPr>
          <w:spacing w:val="-2"/>
        </w:rPr>
      </w:pPr>
      <w:r w:rsidRPr="0071401E">
        <w:t>–</w:t>
      </w:r>
      <w:r w:rsidRPr="0071401E">
        <w:tab/>
        <w:t>so zreteľom na rezolúciu Valného zhromaždenia Organizácie Spojených národov č. 79/188 o predchádzaní a boji proti násiliu páchanému na deťoch organizovanými zločineckými skupinami a teroristickými skupinami v oblasti prevencie kriminality a trestného súdnictva,</w:t>
      </w:r>
    </w:p>
    <w:p w:rsidR="00D80D51" w:rsidRPr="0071401E" w:rsidP="00D80D51" w14:paraId="5970EA75" w14:textId="77777777">
      <w:pPr>
        <w:pStyle w:val="NormalHanging12a"/>
        <w:rPr>
          <w:spacing w:val="-2"/>
        </w:rPr>
      </w:pPr>
      <w:r w:rsidRPr="0071401E">
        <w:t>–</w:t>
      </w:r>
      <w:r w:rsidRPr="0071401E">
        <w:tab/>
        <w:t>so zreteľom na rezolúciu Hospodárskej a sociálnej rady Organizácie Spojených národov č. 2024/12 o zaobchádzaní s deťmi spojenými s teroristickými skupinami, vrátane detí, ktoré sú týmito skupinami verbované a vykorisťované,</w:t>
      </w:r>
    </w:p>
    <w:p w:rsidR="00D80D51" w:rsidRPr="0071401E" w:rsidP="00D80D51" w14:paraId="5BDF62C5" w14:textId="4E605BAE">
      <w:pPr>
        <w:pStyle w:val="NormalHanging12a"/>
        <w:rPr>
          <w:spacing w:val="-2"/>
        </w:rPr>
      </w:pPr>
      <w:r w:rsidRPr="0071401E">
        <w:t>–</w:t>
      </w:r>
      <w:r w:rsidRPr="0071401E">
        <w:tab/>
        <w:t xml:space="preserve">so zreteľom na oznámenie Komisie z 1. apríla 2025 s názvom </w:t>
      </w:r>
      <w:r w:rsidRPr="0071401E">
        <w:t>ProtectEU</w:t>
      </w:r>
      <w:r w:rsidRPr="0071401E">
        <w:t>: európska stratégia vnútornej bezpečnosti (COM(2025)0148)</w:t>
      </w:r>
      <w:r w:rsidRPr="0071401E" w:rsidR="008465C5">
        <w:t>,</w:t>
      </w:r>
    </w:p>
    <w:p w:rsidR="00D80D51" w:rsidRPr="0071401E" w:rsidP="00D80D51" w14:paraId="23DCF85C" w14:textId="77777777">
      <w:pPr>
        <w:pStyle w:val="NormalHanging12a"/>
        <w:rPr>
          <w:spacing w:val="-2"/>
        </w:rPr>
      </w:pPr>
      <w:r w:rsidRPr="0071401E">
        <w:t>–</w:t>
      </w:r>
      <w:r w:rsidRPr="0071401E">
        <w:tab/>
        <w:t xml:space="preserve">so zreteľom na správu </w:t>
      </w:r>
      <w:r w:rsidRPr="0071401E">
        <w:t>Europolu</w:t>
      </w:r>
      <w:r w:rsidRPr="0071401E">
        <w:t xml:space="preserve"> s názvom Hodnotenie hrozieb závažnej a organizovanej trestnej činnosti v Európskej únii 2025 (EU SOCTA),</w:t>
      </w:r>
    </w:p>
    <w:p w:rsidR="00D80D51" w:rsidRPr="0071401E" w:rsidP="00D80D51" w14:paraId="6F309E43" w14:textId="77777777">
      <w:pPr>
        <w:pStyle w:val="NormalHanging12a"/>
        <w:rPr>
          <w:spacing w:val="-2"/>
        </w:rPr>
      </w:pPr>
      <w:r w:rsidRPr="0071401E">
        <w:t>–</w:t>
      </w:r>
      <w:r w:rsidRPr="0071401E">
        <w:tab/>
        <w:t>so zreteľom na pripravovaný akčný plán EÚ na ochranu detí pred trestnou činnosťou,</w:t>
      </w:r>
    </w:p>
    <w:p w:rsidR="00D80D51" w:rsidRPr="0071401E" w:rsidP="00D80D51" w14:paraId="37345D10" w14:textId="77777777">
      <w:pPr>
        <w:pStyle w:val="NormalHanging12a"/>
        <w:rPr>
          <w:spacing w:val="-2"/>
        </w:rPr>
      </w:pPr>
      <w:r w:rsidRPr="0071401E">
        <w:t>–</w:t>
      </w:r>
      <w:r w:rsidRPr="0071401E">
        <w:tab/>
        <w:t xml:space="preserve">so zreteľom na projekt EÚ a Úradu Organizácie Spojených národov pre drogy a kriminalitu (UNODC) s názvom STRIVE </w:t>
      </w:r>
      <w:r w:rsidRPr="0071401E">
        <w:t>Juvenile</w:t>
      </w:r>
      <w:r w:rsidRPr="0071401E">
        <w:t xml:space="preserve"> a na závery z jeho hodnotenia,</w:t>
      </w:r>
    </w:p>
    <w:p w:rsidR="00D80D51" w:rsidRPr="0071401E" w:rsidP="00D80D51" w14:paraId="6EE2F7DD" w14:textId="77777777">
      <w:pPr>
        <w:pStyle w:val="NormalHanging12a"/>
      </w:pPr>
      <w:bookmarkStart w:id="7" w:name="_Hlk231207339"/>
      <w:r w:rsidRPr="0071401E">
        <w:rPr>
          <w:snapToGrid w:val="0"/>
        </w:rPr>
        <w:t>–</w:t>
      </w:r>
      <w:r w:rsidRPr="0071401E">
        <w:rPr>
          <w:snapToGrid w:val="0"/>
        </w:rPr>
        <w:tab/>
      </w:r>
      <w:r w:rsidRPr="0071401E">
        <w:t>so zreteľom na nariadenie Európskeho parlamentu a Rady (EÚ) 2022/2065 z 19. októbra 2022 o jednotnom trhu s digitálnymi službami a o zmene smernice 2000/31/ES (akt o digitálnych službách)</w:t>
      </w:r>
      <w:r>
        <w:rPr>
          <w:rStyle w:val="FootnoteReference"/>
        </w:rPr>
        <w:footnoteReference w:id="2"/>
      </w:r>
      <w:r w:rsidRPr="0071401E">
        <w:t>, najmä jeho ustanovenia o ochrane maloletých na internete, posudzovaní a zmierňovaní systémových rizík spojených s nezákonným obsahom a škodlivým správaním na internete, odporúčacích systémoch a povinnostiach veľmi veľkých online platforiem a vyhľadávačov,</w:t>
      </w:r>
    </w:p>
    <w:p w:rsidR="00D80D51" w:rsidRPr="0071401E" w:rsidP="00D80D51" w14:paraId="144BDD50" w14:textId="77777777">
      <w:pPr>
        <w:pStyle w:val="NormalHanging12a"/>
      </w:pPr>
      <w:r w:rsidRPr="0071401E">
        <w:rPr>
          <w:snapToGrid w:val="0"/>
        </w:rPr>
        <w:t>–</w:t>
      </w:r>
      <w:r w:rsidRPr="0071401E">
        <w:rPr>
          <w:snapToGrid w:val="0"/>
        </w:rPr>
        <w:tab/>
      </w:r>
      <w:r w:rsidRPr="0071401E">
        <w:t xml:space="preserve">so zreteľom na usmernenia Komisie v rámci aktu o digitálnych službách týkajúce sa </w:t>
      </w:r>
      <w:r w:rsidRPr="0071401E">
        <w:t>ochrany maloletých zo 14. júla 2025</w:t>
      </w:r>
      <w:r>
        <w:rPr>
          <w:rStyle w:val="FootnoteReference"/>
        </w:rPr>
        <w:footnoteReference w:id="3"/>
      </w:r>
      <w:r w:rsidRPr="0071401E">
        <w:t>,</w:t>
      </w:r>
    </w:p>
    <w:p w:rsidR="00D80D51" w:rsidRPr="0071401E" w:rsidP="00D80D51" w14:paraId="3D75FBA3" w14:textId="77777777">
      <w:pPr>
        <w:pStyle w:val="NormalHanging12a"/>
      </w:pPr>
      <w:r w:rsidRPr="0071401E">
        <w:rPr>
          <w:snapToGrid w:val="0"/>
        </w:rPr>
        <w:t>–</w:t>
      </w:r>
      <w:r w:rsidRPr="0071401E">
        <w:rPr>
          <w:snapToGrid w:val="0"/>
        </w:rPr>
        <w:tab/>
      </w:r>
      <w:r w:rsidRPr="0071401E">
        <w:t xml:space="preserve">so zreteľom na spravodajské oznámenie </w:t>
      </w:r>
      <w:r w:rsidRPr="0071401E">
        <w:t>Europolu</w:t>
      </w:r>
      <w:r w:rsidRPr="0071401E">
        <w:t xml:space="preserve"> z 12. novembra 2024 s názvom „Nábor mladých páchateľov do zločineckých sietí“,</w:t>
      </w:r>
    </w:p>
    <w:p w:rsidR="00D80D51" w:rsidRPr="0071401E" w:rsidP="00D80D51" w14:paraId="7243712E" w14:textId="77777777">
      <w:pPr>
        <w:pStyle w:val="NormalHanging12a"/>
      </w:pPr>
      <w:r w:rsidRPr="0071401E">
        <w:rPr>
          <w:snapToGrid w:val="0"/>
        </w:rPr>
        <w:t>–</w:t>
      </w:r>
      <w:r w:rsidRPr="0071401E">
        <w:rPr>
          <w:snapToGrid w:val="0"/>
        </w:rPr>
        <w:tab/>
      </w:r>
      <w:r w:rsidRPr="0071401E">
        <w:t xml:space="preserve">so zreteľom na pracovný dokument UNICEF </w:t>
      </w:r>
      <w:r w:rsidRPr="0071401E">
        <w:t>Innocenti</w:t>
      </w:r>
      <w:r w:rsidRPr="0071401E">
        <w:t xml:space="preserve"> – Globálneho úradu pre výskum a prognózy zo septembra 2024 s názvom „Zapojenie detí do organizovaného násilia: Nové trendy a medzery vo vedomostiach“,</w:t>
      </w:r>
    </w:p>
    <w:bookmarkEnd w:id="7"/>
    <w:p w:rsidR="00D80D51" w:rsidRPr="0071401E" w:rsidP="00D80D51" w14:paraId="2059F12B" w14:textId="77777777">
      <w:pPr>
        <w:pStyle w:val="NormalHanging12a"/>
        <w:rPr>
          <w:bCs/>
          <w:spacing w:val="-2"/>
        </w:rPr>
      </w:pPr>
      <w:r w:rsidRPr="0071401E">
        <w:t>–</w:t>
      </w:r>
      <w:r w:rsidRPr="0071401E">
        <w:tab/>
        <w:t>so zreteľom na Stratégiu EÚ v oblasti práv dieťaťa a Stratégiu EÚ v oblasti drog,</w:t>
      </w:r>
    </w:p>
    <w:p w:rsidR="00D80D51" w:rsidRPr="0071401E" w:rsidP="00D80D51" w14:paraId="3585B10C" w14:textId="77777777">
      <w:pPr>
        <w:pStyle w:val="NormalHanging12a"/>
        <w:rPr>
          <w:bCs/>
          <w:spacing w:val="-2"/>
        </w:rPr>
      </w:pPr>
      <w:r w:rsidRPr="0071401E">
        <w:t>–</w:t>
      </w:r>
      <w:r w:rsidRPr="0071401E">
        <w:tab/>
        <w:t>so zreteľom na vypočutie Výboru pre občianske slobody, spravodlivosť a vnútorné veci, ktoré sa konalo 4. júna 2025 pod názvom „</w:t>
      </w:r>
      <w:r w:rsidRPr="0071401E">
        <w:t>Radikalizácia</w:t>
      </w:r>
      <w:r w:rsidRPr="0071401E">
        <w:t xml:space="preserve"> na internete so zameraním na nábor detí do organizovanej trestnej činnosti a terorizmu“,</w:t>
      </w:r>
    </w:p>
    <w:p w:rsidR="00D80D51" w:rsidRPr="0071401E" w:rsidP="00D80D51" w14:paraId="64E5FC90" w14:textId="77777777">
      <w:pPr>
        <w:pStyle w:val="NormalHanging12a"/>
        <w:rPr>
          <w:bCs/>
          <w:spacing w:val="-2"/>
        </w:rPr>
      </w:pPr>
      <w:r w:rsidRPr="0071401E">
        <w:t>–</w:t>
      </w:r>
      <w:r w:rsidRPr="0071401E">
        <w:tab/>
        <w:t xml:space="preserve">so zreteľom na svoje uznesenie z 20. januára 2026 o vražde </w:t>
      </w:r>
      <w:r w:rsidRPr="0071401E">
        <w:t>Mehdiho</w:t>
      </w:r>
      <w:r w:rsidRPr="0071401E">
        <w:t xml:space="preserve"> </w:t>
      </w:r>
      <w:r w:rsidRPr="0071401E">
        <w:t>Kessaciho</w:t>
      </w:r>
      <w:r w:rsidRPr="0071401E">
        <w:t>: naliehavá potreba ambicióznych európskych opatrení proti obchodovaniu s drogami</w:t>
      </w:r>
      <w:r>
        <w:rPr>
          <w:rStyle w:val="FootnoteReference"/>
        </w:rPr>
        <w:footnoteReference w:id="4"/>
      </w:r>
      <w:r w:rsidRPr="0071401E">
        <w:t>,</w:t>
      </w:r>
    </w:p>
    <w:p w:rsidR="00D80D51" w:rsidRPr="0071401E" w:rsidP="00D80D51" w14:paraId="66170D08" w14:textId="77777777">
      <w:pPr>
        <w:pStyle w:val="NormalHanging12a"/>
        <w:rPr>
          <w:spacing w:val="-2"/>
        </w:rPr>
      </w:pPr>
      <w:r w:rsidRPr="0071401E">
        <w:t>–</w:t>
      </w:r>
      <w:r w:rsidRPr="0071401E">
        <w:tab/>
        <w:t>so zreteľom na smernicu Európskeho parlamentu a Rady (EÚ) 2016/800 z 11. mája 2016 o procesných zárukách pre deti, ktoré sú podozrivými alebo obvinenými osobami v trestnom konaní</w:t>
      </w:r>
      <w:r>
        <w:rPr>
          <w:rStyle w:val="FootnoteReference"/>
        </w:rPr>
        <w:footnoteReference w:id="5"/>
      </w:r>
      <w:r w:rsidRPr="0071401E">
        <w:t>,</w:t>
      </w:r>
    </w:p>
    <w:p w:rsidR="00D80D51" w:rsidRPr="0071401E" w:rsidP="00D80D51" w14:paraId="1D5BDB41" w14:textId="77777777">
      <w:pPr>
        <w:pStyle w:val="NormalHanging12a"/>
      </w:pPr>
      <w:r w:rsidRPr="0071401E">
        <w:t>–</w:t>
      </w:r>
      <w:r w:rsidRPr="0071401E">
        <w:tab/>
        <w:t>so zreteľom na článok 136 ods. 2 rokovacieho poriadku,</w:t>
      </w:r>
    </w:p>
    <w:p w:rsidR="00D80D51" w:rsidRPr="0071401E" w:rsidP="00D80D51" w14:paraId="67F6FCF1" w14:textId="77777777">
      <w:pPr>
        <w:pStyle w:val="NormalHanging12a"/>
      </w:pPr>
      <w:r w:rsidRPr="0071401E">
        <w:t>A.</w:t>
      </w:r>
      <w:r w:rsidRPr="0071401E">
        <w:rPr>
          <w:snapToGrid w:val="0"/>
        </w:rPr>
        <w:tab/>
      </w:r>
      <w:r w:rsidRPr="0071401E">
        <w:t>keďže organizované zločinecké a teroristické skupiny v rámci svojich operačných stratégií čoraz častejšie verbujú a vykorisťujú deti, a to aj s cieľom chrániť dospelých páchateľov pred odhalením a stíhaním a rozširovať nelegálne činnosti;</w:t>
      </w:r>
    </w:p>
    <w:p w:rsidR="00D80D51" w:rsidRPr="0071401E" w:rsidP="00D80D51" w14:paraId="09528976" w14:textId="77777777">
      <w:pPr>
        <w:pStyle w:val="NormalHanging12a"/>
      </w:pPr>
      <w:r w:rsidRPr="0071401E">
        <w:rPr>
          <w:snapToGrid w:val="0"/>
        </w:rPr>
        <w:t>B.</w:t>
      </w:r>
      <w:r w:rsidRPr="0071401E">
        <w:rPr>
          <w:snapToGrid w:val="0"/>
        </w:rPr>
        <w:tab/>
      </w:r>
      <w:r w:rsidRPr="0071401E">
        <w:t xml:space="preserve">keďže zo spravodajského oznámenia </w:t>
      </w:r>
      <w:r w:rsidRPr="0071401E">
        <w:t>Europolu</w:t>
      </w:r>
      <w:r w:rsidRPr="0071401E">
        <w:t xml:space="preserve"> z novembra 2024 vyplýva, že maloletí, ktorých zverbovali zločinecké siete, zvyčajne nemajú priamy kontakt s vyšším vedením týchto organizácií a sú mobilizovaní prostredníctvom poskytovateľov zločineckých služieb; keďže pre obmedzené znalosti o štruktúre sietí a častú absenciu predchádzajúceho záznamu v registri trestov sú z týchto maloletých agenti s nízkym rizikom, ktorí v prípade zatknutia s menšou pravdepodobnosťou poskytnú orgánom presadzovania práva užitočné informácie;</w:t>
      </w:r>
    </w:p>
    <w:p w:rsidR="00D80D51" w:rsidRPr="0071401E" w:rsidP="00D80D51" w14:paraId="3E703A86" w14:textId="77777777">
      <w:pPr>
        <w:pStyle w:val="NormalHanging12a"/>
      </w:pPr>
      <w:r w:rsidRPr="0071401E">
        <w:rPr>
          <w:snapToGrid w:val="0"/>
        </w:rPr>
        <w:t>C.</w:t>
      </w:r>
      <w:r w:rsidRPr="0071401E">
        <w:rPr>
          <w:snapToGrid w:val="0"/>
        </w:rPr>
        <w:tab/>
      </w:r>
      <w:r w:rsidRPr="0071401E">
        <w:t>keďže nábor a vykorisťovanie detí organizovanými zločineckými a teroristickými skupinami porušuje základné práva detí vrátane ich dôstojnosti, čo má závažné dôsledky na ich bezpečnosť a budúcnosť; keďže zraniteľnosť detí voči náboru organizovanými zločineckými sieťami vyplýva z viacerých vzájomne sa prelínajúcich rizikových faktorov, medzi ktoré patrí chýbajúci pocit príslušnosti, negatívne skúsenosti z detstva a problémy s duševným zdravím, a tie sa zámerne zneužívajú; keďže účinná prevencia si vyžaduje komplexné opatrenia zamerané na tieto faktory;</w:t>
      </w:r>
    </w:p>
    <w:p w:rsidR="00D80D51" w:rsidRPr="0071401E" w:rsidP="00D80D51" w14:paraId="72820B88" w14:textId="77777777">
      <w:pPr>
        <w:pStyle w:val="NormalHanging12a"/>
      </w:pPr>
      <w:r w:rsidRPr="0071401E">
        <w:rPr>
          <w:snapToGrid w:val="0"/>
        </w:rPr>
        <w:t>D.</w:t>
      </w:r>
      <w:r w:rsidRPr="0071401E">
        <w:rPr>
          <w:snapToGrid w:val="0"/>
        </w:rPr>
        <w:tab/>
      </w:r>
      <w:r w:rsidRPr="0071401E">
        <w:t xml:space="preserve">keďže nábor detí sa z pôvodne prevažne humanitárneho problému vyvinul na systémový faktor podporujúci organizovanú trestnú činnosť, stal sa súčasťou operačných modelov zločineckých sietí a predstavuje prekážku pre mier, bezpečnosť a rozvoj; keďže zločinecké skupiny, ktoré verbujú deti, ohrozujú bezpečnosť EÚ, </w:t>
      </w:r>
      <w:r w:rsidRPr="0071401E">
        <w:t>podnecujú kriminalitu a udržiavajú kolobeh násilia a neistoty naprieč generáciami;</w:t>
      </w:r>
    </w:p>
    <w:p w:rsidR="00D80D51" w:rsidRPr="0071401E" w:rsidP="00D80D51" w14:paraId="02014CFB" w14:textId="77777777">
      <w:pPr>
        <w:pStyle w:val="NormalHanging12a"/>
      </w:pPr>
      <w:r w:rsidRPr="0071401E">
        <w:rPr>
          <w:snapToGrid w:val="0"/>
        </w:rPr>
        <w:t>E.</w:t>
      </w:r>
      <w:r w:rsidRPr="0071401E">
        <w:rPr>
          <w:snapToGrid w:val="0"/>
        </w:rPr>
        <w:tab/>
      </w:r>
      <w:r w:rsidRPr="0071401E">
        <w:t>keďže tieto praktiky sú podporované určitými druhmi technologického rozvoja, ktoré môžu normalizovať a podnecovať kriminálne správanie medzi deťmi;</w:t>
      </w:r>
    </w:p>
    <w:p w:rsidR="00D80D51" w:rsidRPr="0071401E" w:rsidP="00D80D51" w14:paraId="06F2F44E" w14:textId="1F50292C">
      <w:pPr>
        <w:pStyle w:val="NormalHanging12a"/>
      </w:pPr>
      <w:r w:rsidRPr="0071401E">
        <w:rPr>
          <w:snapToGrid w:val="0"/>
        </w:rPr>
        <w:t>F.</w:t>
      </w:r>
      <w:r w:rsidRPr="0071401E">
        <w:rPr>
          <w:snapToGrid w:val="0"/>
        </w:rPr>
        <w:tab/>
      </w:r>
      <w:r w:rsidRPr="0071401E">
        <w:t xml:space="preserve">keďže v rámci mapovania </w:t>
      </w:r>
      <w:r w:rsidRPr="0071401E">
        <w:t>Europolu</w:t>
      </w:r>
      <w:r w:rsidRPr="0071401E">
        <w:t xml:space="preserve"> z roku 2024 bolo identifikovaných 821 vysoko rizikových zločineckých sietí pôsobiacich v EÚ, ktoré generujú odhadované ročné príjmy vo výške 92 až 188 miliárd EUR, čo predstavuje približne 0,7 až 1,4</w:t>
      </w:r>
      <w:r w:rsidRPr="0071401E" w:rsidR="008465C5">
        <w:t> </w:t>
      </w:r>
      <w:r w:rsidRPr="0071401E">
        <w:t>% HDP EÚ</w:t>
      </w:r>
      <w:r>
        <w:rPr>
          <w:rStyle w:val="FootnoteReference"/>
          <w:color w:val="000000"/>
        </w:rPr>
        <w:footnoteReference w:id="6"/>
      </w:r>
      <w:r w:rsidRPr="0071401E">
        <w:t>; keďže maloletí sú zapojení do viac ako 70 % nelegálnych trhových aktivít vrátane obchodovania s drogami, vydierania, internetových podvodov, prania špinavých peňazí, nelegálneho obchodovania so zbraňami a schém typu „násilie na objednávku“, pričom zločinecké siete vykorisťujú deti už od 12 rokov na úlohy, ako je predaj drog na ulici, preprava hotovosti a vyberanie drog z prepravných kontajnerov;</w:t>
      </w:r>
    </w:p>
    <w:p w:rsidR="00D80D51" w:rsidRPr="0071401E" w:rsidP="00D80D51" w14:paraId="319313E1" w14:textId="77777777">
      <w:pPr>
        <w:pStyle w:val="NormalHanging12a"/>
        <w:rPr>
          <w:bCs/>
        </w:rPr>
      </w:pPr>
      <w:r w:rsidRPr="0071401E">
        <w:rPr>
          <w:snapToGrid w:val="0"/>
        </w:rPr>
        <w:t>G.</w:t>
      </w:r>
      <w:r w:rsidRPr="0071401E">
        <w:rPr>
          <w:snapToGrid w:val="0"/>
        </w:rPr>
        <w:tab/>
      </w:r>
      <w:r w:rsidRPr="0071401E">
        <w:t xml:space="preserve">keďže zločinecké organizácie sa systematicky zameriavajú na deti v mimoriadne zraniteľnej situácii, najmä na tie, ktoré čelia sociálno-ekonomickému vylúčeniu, predčasnému ukončeniu školskej dochádzky a rozpadu rodiny, alebo na deti v migračnej situácii, pričom zneužívajú ich ekonomickú neistotu, sociálnu </w:t>
      </w:r>
      <w:r w:rsidRPr="0071401E">
        <w:t>marginalizáciu</w:t>
      </w:r>
      <w:r w:rsidRPr="0071401E">
        <w:t xml:space="preserve"> a nedostatočné povedomie o rizikách;</w:t>
      </w:r>
    </w:p>
    <w:p w:rsidR="00D80D51" w:rsidRPr="0071401E" w:rsidP="00D80D51" w14:paraId="726E6A67" w14:textId="77777777">
      <w:pPr>
        <w:pStyle w:val="NormalHanging12a"/>
        <w:rPr>
          <w:bCs/>
        </w:rPr>
      </w:pPr>
      <w:r w:rsidRPr="0071401E">
        <w:rPr>
          <w:snapToGrid w:val="0"/>
        </w:rPr>
        <w:t>H.</w:t>
      </w:r>
      <w:r w:rsidRPr="0071401E">
        <w:rPr>
          <w:snapToGrid w:val="0"/>
        </w:rPr>
        <w:tab/>
      </w:r>
      <w:r w:rsidRPr="0071401E">
        <w:t>keďže dievčatá a mladé ženy sú čoraz častejšie zapájané do organizovanej trestnej činnosti, hoci systémy trestného súdnictva ich často prehliadajú, pričom 22 % identifikovaných obetí obchodovania s ľuďmi v západnej a južnej Európe je nútených do páchania trestnej činnosti, predovšetkým do obchodovania s drogami;</w:t>
      </w:r>
    </w:p>
    <w:p w:rsidR="00D80D51" w:rsidRPr="0071401E" w:rsidP="00D80D51" w14:paraId="10F4F3E9" w14:textId="77777777">
      <w:pPr>
        <w:pStyle w:val="NormalHanging12a"/>
      </w:pPr>
      <w:r w:rsidRPr="0071401E">
        <w:rPr>
          <w:snapToGrid w:val="0"/>
        </w:rPr>
        <w:t>I.</w:t>
      </w:r>
      <w:r w:rsidRPr="0071401E">
        <w:rPr>
          <w:snapToGrid w:val="0"/>
        </w:rPr>
        <w:tab/>
      </w:r>
      <w:r w:rsidRPr="0071401E">
        <w:t>keďže nelegálny obchod so strelnými zbraňami a nezákonné používanie pyrotechniky prispeli k posunu od menších priestupkov smerom k závažnejším a násilnejším trestným činom, do ktorých sú zapojení maloletí, vrátane vydierania a zabíjania; keďže náborári zločineckých skupín môžu maloletým ponúkať značné finančné odmeny, ktoré sa pohybujú od niekoľko tisíc eur až po 20 000 EUR za zabitie;</w:t>
      </w:r>
    </w:p>
    <w:p w:rsidR="00D80D51" w:rsidRPr="0071401E" w:rsidP="00D80D51" w14:paraId="203DDE87" w14:textId="77777777">
      <w:pPr>
        <w:pStyle w:val="NormalHanging12a"/>
      </w:pPr>
      <w:r w:rsidRPr="0071401E">
        <w:rPr>
          <w:snapToGrid w:val="0"/>
        </w:rPr>
        <w:t>J.</w:t>
      </w:r>
      <w:r w:rsidRPr="0071401E">
        <w:rPr>
          <w:snapToGrid w:val="0"/>
        </w:rPr>
        <w:tab/>
      </w:r>
      <w:r w:rsidRPr="0071401E">
        <w:t xml:space="preserve">keďže zastrašovanie a nátlak súvisiace s drogami predstavujú hlavný spôsob, akým organizované zločinecké siete verbujú a vykorisťujú deti prostredníctvom zadlženia, </w:t>
      </w:r>
      <w:r w:rsidRPr="0071401E">
        <w:t>groomingu</w:t>
      </w:r>
      <w:r w:rsidRPr="0071401E">
        <w:t xml:space="preserve"> a násilia; keďže cezhraničný dosah týchto sietí znamená, že tieto javy nie je možné primerane riešiť len prostredníctvom vnútroštátnych opatrení;</w:t>
      </w:r>
    </w:p>
    <w:p w:rsidR="00D80D51" w:rsidRPr="0071401E" w:rsidP="00D80D51" w14:paraId="008EB352" w14:textId="77777777">
      <w:pPr>
        <w:pStyle w:val="NormalHanging12a"/>
      </w:pPr>
      <w:r w:rsidRPr="0071401E">
        <w:rPr>
          <w:snapToGrid w:val="0"/>
        </w:rPr>
        <w:t>K.</w:t>
      </w:r>
      <w:r w:rsidRPr="0071401E">
        <w:rPr>
          <w:snapToGrid w:val="0"/>
        </w:rPr>
        <w:tab/>
      </w:r>
      <w:r w:rsidRPr="0071401E">
        <w:t>vzhľadom na to, že rozširovanie trhov s drogami viedlo k alarmujúcemu nárastu zapájania maloletých, o čom svedčí prudký nárast využívania dôležitých logistických uzlov vrátane prístavov; keďže neexistencia jednotného výkladu súčasného vymedzenia pojmu organizovaná trestná činnosť vo všetkých členských štátoch EÚ sťažuje zber a porovnateľnosť údajov a keďže údaje o maloletých v organizovanej trestnej činnosti sú nedostatočné, často nedôveryhodné a takmer neporovnateľné v dôsledku rozdielov vo veku trestnej zodpovednosti a nedostatočného hlásenia;</w:t>
      </w:r>
    </w:p>
    <w:p w:rsidR="00D80D51" w:rsidRPr="0071401E" w:rsidP="00D80D51" w14:paraId="7D81EED5" w14:textId="77777777">
      <w:pPr>
        <w:pStyle w:val="NormalHanging12a"/>
      </w:pPr>
      <w:r w:rsidRPr="0071401E">
        <w:rPr>
          <w:snapToGrid w:val="0"/>
        </w:rPr>
        <w:t>L.</w:t>
      </w:r>
      <w:r w:rsidRPr="0071401E">
        <w:rPr>
          <w:snapToGrid w:val="0"/>
        </w:rPr>
        <w:tab/>
      </w:r>
      <w:r w:rsidRPr="0071401E">
        <w:t>keďže nedostatočné investície do verejných služieb vrátane prevencie, vzdelávania a služieb v oblasti zdravotníctva sú hlavnými príčinami náboru detí organizovanými zločineckými skupinami;</w:t>
      </w:r>
    </w:p>
    <w:p w:rsidR="00D80D51" w:rsidRPr="0071401E" w:rsidP="00D80D51" w14:paraId="7CB45B5C" w14:textId="61484CDB">
      <w:pPr>
        <w:pStyle w:val="NormalHanging12a"/>
      </w:pPr>
      <w:r w:rsidRPr="0071401E">
        <w:rPr>
          <w:snapToGrid w:val="0"/>
        </w:rPr>
        <w:t>M.</w:t>
      </w:r>
      <w:r w:rsidRPr="0071401E">
        <w:rPr>
          <w:snapToGrid w:val="0"/>
        </w:rPr>
        <w:tab/>
      </w:r>
      <w:r w:rsidRPr="0071401E">
        <w:t xml:space="preserve">keďže nesúrodé reakcie inštitúcií a nedostatočná koordinácia medzi systémami ochrany </w:t>
      </w:r>
      <w:r w:rsidRPr="0071401E">
        <w:t xml:space="preserve">detí, justičnými orgánmi, bezpečnostnými zložkami a orgánmi dohľadu nad digitálnym priestorom vytvárajú medzery, ktoré zneužívajú zločinecké skupiny; keďže </w:t>
      </w:r>
      <w:r w:rsidRPr="0071401E" w:rsidR="008465C5">
        <w:t>Európsky p</w:t>
      </w:r>
      <w:r w:rsidRPr="0071401E">
        <w:t xml:space="preserve">arlament vo svojom uznesení o vražde </w:t>
      </w:r>
      <w:r w:rsidRPr="0071401E">
        <w:t>Mehdiho</w:t>
      </w:r>
      <w:r w:rsidRPr="0071401E">
        <w:t xml:space="preserve"> </w:t>
      </w:r>
      <w:r w:rsidRPr="0071401E">
        <w:t>Kessaciho</w:t>
      </w:r>
      <w:r w:rsidRPr="0071401E">
        <w:t xml:space="preserve"> v Marseille odsúdil systematický nábor mladých ľudí zločineckými gangmi a vyzval na posilnenie prevencie, ochrany a stíhania vrátane špecializovanej podpory pre maloletých, aby sa vyhli vykorisťovaniu a opäť sa začlenili do spoločnosti;</w:t>
      </w:r>
    </w:p>
    <w:p w:rsidR="00D80D51" w:rsidRPr="0071401E" w:rsidP="00D80D51" w14:paraId="2E21D913" w14:textId="77777777">
      <w:pPr>
        <w:pStyle w:val="NormalHanging12a"/>
      </w:pPr>
      <w:r w:rsidRPr="0071401E">
        <w:rPr>
          <w:snapToGrid w:val="0"/>
        </w:rPr>
        <w:t>N.</w:t>
      </w:r>
      <w:r w:rsidRPr="0071401E">
        <w:rPr>
          <w:snapToGrid w:val="0"/>
        </w:rPr>
        <w:tab/>
      </w:r>
      <w:r w:rsidRPr="0071401E">
        <w:t xml:space="preserve">keďže </w:t>
      </w:r>
      <w:r w:rsidRPr="0071401E">
        <w:t>Europol</w:t>
      </w:r>
      <w:r w:rsidRPr="0071401E">
        <w:t xml:space="preserve"> v apríli 2025 zriadil operačnú pracovnú skupinu s názvom „GRIMM“ s cieľom koordinovať spoluprácu s technologickými spoločnosťami pri odhaľovaní pokusov o nábor detí prostredníctvom sociálnych médií a komunikačných platforiem, ktorú vedie Švédsko a ktorá združuje policajné zložky z Belgicka, Dánska, Fínska, Francúzska, Holandska, Nemecka a Nórska;</w:t>
      </w:r>
    </w:p>
    <w:p w:rsidR="00D80D51" w:rsidRPr="0071401E" w:rsidP="00D80D51" w14:paraId="63918318" w14:textId="77777777">
      <w:pPr>
        <w:pStyle w:val="NormalHanging12a"/>
      </w:pPr>
      <w:r w:rsidRPr="0071401E">
        <w:rPr>
          <w:snapToGrid w:val="0"/>
        </w:rPr>
        <w:t>O.</w:t>
      </w:r>
      <w:r w:rsidRPr="0071401E">
        <w:rPr>
          <w:snapToGrid w:val="0"/>
        </w:rPr>
        <w:tab/>
      </w:r>
      <w:r w:rsidRPr="0071401E">
        <w:t xml:space="preserve">keďže prístupy založené na dôkazoch, ako sú tie, ktoré boli vyvinuté v rámci projektu EÚ a UNODC STRIVE </w:t>
      </w:r>
      <w:r w:rsidRPr="0071401E">
        <w:t>Juvenile</w:t>
      </w:r>
      <w:r w:rsidRPr="0071401E">
        <w:t>, preukazujú účinnosť opatrení, ktoré kladú dôraz na prevenciu, sú medziodvetvové, zohľadňujú traumatické skúsenosti, rešpektujú rodové hľadisko a sú zamerané na dieťa;</w:t>
      </w:r>
    </w:p>
    <w:p w:rsidR="00D80D51" w:rsidRPr="0071401E" w:rsidP="00D80D51" w14:paraId="605F1DB6" w14:textId="77777777">
      <w:pPr>
        <w:pStyle w:val="NormalHanging12a"/>
      </w:pPr>
      <w:r w:rsidRPr="0071401E">
        <w:t>1.</w:t>
      </w:r>
      <w:r w:rsidRPr="0071401E">
        <w:tab/>
        <w:t>dôrazne odsudzuje nábor a vykorisťovanie detí organizovanými zločineckými a teroristickými skupinami vo všetkých formách, a to tak online, ako aj off-line;</w:t>
      </w:r>
    </w:p>
    <w:p w:rsidR="00D80D51" w:rsidRPr="0071401E" w:rsidP="00D80D51" w14:paraId="3C03C1D5" w14:textId="77777777">
      <w:pPr>
        <w:pStyle w:val="NormalHanging12a"/>
        <w:rPr>
          <w:spacing w:val="-2"/>
        </w:rPr>
      </w:pPr>
      <w:r w:rsidRPr="0071401E">
        <w:t>2.</w:t>
      </w:r>
      <w:r w:rsidRPr="0071401E">
        <w:tab/>
        <w:t>uznáva, že verbovanie detí predstavuje závažný zločin proti deťom a závažné porušenie ľudských práv; zdôrazňuje, že ide o neustále sa meniacu hrozbu pre vnútornú a vonkajšiu bezpečnosť Európskej únie, ktorá si vyžaduje komplexnú reakciu zameranú na ochranu, včasnú prevenciu, prístup k právam a kontinuitu vzdelávania, pričom sa zohľadňuje prepojenie systémov vnútornej bezpečnosti, spravodlivosti, sociálnych a vzdelávacích systémov, ako aj stratégií a opatrení zameraných na posilnenie rámca ochranného prostredia pre deti, a to tak off-line, ako aj online;</w:t>
      </w:r>
    </w:p>
    <w:p w:rsidR="00D80D51" w:rsidRPr="0071401E" w:rsidP="00D80D51" w14:paraId="772FE5BD" w14:textId="77777777">
      <w:pPr>
        <w:pStyle w:val="NormalHanging12a"/>
        <w:rPr>
          <w:spacing w:val="-2"/>
        </w:rPr>
      </w:pPr>
      <w:r w:rsidRPr="0071401E">
        <w:t>3.</w:t>
      </w:r>
      <w:r w:rsidRPr="0071401E">
        <w:tab/>
        <w:t>pripomína, že dieťa je v prvom rade dieťa a malo by sa s ním aj tak zaobchádzať, a vyzýva členské štáty, aby zabezpečili, že najlepší záujem dieťaťa bude vždy na prvom mieste;</w:t>
      </w:r>
    </w:p>
    <w:p w:rsidR="00D80D51" w:rsidRPr="0071401E" w:rsidP="00D80D51" w14:paraId="038D69F1" w14:textId="77777777">
      <w:pPr>
        <w:pStyle w:val="NormalHanging12a"/>
      </w:pPr>
      <w:r w:rsidRPr="0071401E">
        <w:t>4.</w:t>
      </w:r>
      <w:r w:rsidRPr="0071401E">
        <w:tab/>
        <w:t>vyzýva Komisiu a členské štáty, aby v rámci pripravovaného akčného plánu EÚ na ochranu detí pred trestnou činnosťou výslovne uznali za prioritnú oblasť prevenciu a opatrenia zamerané proti náboru detí organizovanými zločineckými a teroristickými skupinami; vyzýva, aby tento akčný plán obsahoval osobitný pilier prevencie s mechanizmami včasného varovania, do ktorých budú zapojené školy, sociálne služby a rodiny, a prístup zameraný na mládež, ktorý sa sústredí na rozvoj životných zručností prostredníctvom priameho zapojenia komunity;</w:t>
      </w:r>
    </w:p>
    <w:p w:rsidR="00D80D51" w:rsidRPr="0071401E" w:rsidP="00D80D51" w14:paraId="6325F3C7" w14:textId="77777777">
      <w:pPr>
        <w:pStyle w:val="NormalHanging12a"/>
        <w:rPr>
          <w:spacing w:val="-2"/>
        </w:rPr>
      </w:pPr>
      <w:r w:rsidRPr="0071401E">
        <w:t>5.</w:t>
      </w:r>
      <w:r w:rsidRPr="0071401E">
        <w:tab/>
        <w:t>vyzýva Komisiu, aby sa otázkou náboru detí organizovanými zločineckými skupinami zaoberala aj v nadchádzajúcom legislatívnom návrhu týkajúcom sa modernizovaných pravidiel v oblasti organizovanej trestnej činnosti; vyzýva Komisiu, aby zvážila zaradiť do tohto návrhu konkrétne ustanovenia, napríklad ustanovenia o priťažujúcich okolnostiach v súvislosti s náborom detí; v tejto súvislosti opätovne vyzýva na vytvorenie nového spoločného vymedzenia pojmu „zločinecká organizácia“, v ktorom by sa zohľadňovalo aj používanie násilia, korupcie alebo zastrašovania zo strany zločineckých skupín;</w:t>
      </w:r>
    </w:p>
    <w:p w:rsidR="00D80D51" w:rsidRPr="0071401E" w:rsidP="00D80D51" w14:paraId="42060018" w14:textId="77777777">
      <w:pPr>
        <w:pStyle w:val="NormalHanging12a"/>
        <w:rPr>
          <w:spacing w:val="-2"/>
        </w:rPr>
      </w:pPr>
      <w:r w:rsidRPr="0071401E">
        <w:t>6.</w:t>
      </w:r>
      <w:r w:rsidRPr="0071401E">
        <w:tab/>
        <w:t xml:space="preserve">vyzýva Komisiu, aby čo najskôr predložila legislatívny návrh na revíziu smernice EÚ o </w:t>
      </w:r>
      <w:r w:rsidRPr="0071401E">
        <w:t>pyrotechnike</w:t>
      </w:r>
      <w:r>
        <w:rPr>
          <w:rStyle w:val="FootnoteReference"/>
        </w:rPr>
        <w:footnoteReference w:id="7"/>
      </w:r>
      <w:r w:rsidRPr="0071401E">
        <w:t xml:space="preserve"> s cieľom riešiť problém používania pyrotechniky ako zbraní vrátane vykorisťovania zraniteľných mladých ľudí; vyzýva členské štáty, aby zintenzívnili spoluprácu s </w:t>
      </w:r>
      <w:r w:rsidRPr="0071401E">
        <w:t>Europolom</w:t>
      </w:r>
      <w:r w:rsidRPr="0071401E">
        <w:t xml:space="preserve"> a </w:t>
      </w:r>
      <w:r w:rsidRPr="0071401E">
        <w:t>Eurojustom</w:t>
      </w:r>
      <w:r w:rsidRPr="0071401E">
        <w:t>, najmä v prístavoch, logistických centrách a mestských oblastiach s ohrozenými komunitami, a to prostredníctvom výmeny najlepších postupov a poskytovania odbornej prípravy zameranej na rozpoznávanie a hlásenie podozrivých činností, do ktorých sú zapojené deti;</w:t>
      </w:r>
    </w:p>
    <w:p w:rsidR="00D80D51" w:rsidRPr="0071401E" w:rsidP="00D80D51" w14:paraId="7B3E7AA6" w14:textId="77777777">
      <w:pPr>
        <w:pStyle w:val="NormalHanging12a"/>
        <w:rPr>
          <w:spacing w:val="-2"/>
        </w:rPr>
      </w:pPr>
      <w:r w:rsidRPr="0071401E">
        <w:t>7.</w:t>
      </w:r>
      <w:r w:rsidRPr="0071401E">
        <w:tab/>
        <w:t xml:space="preserve">vyzýva Komisiu a členské štáty, aby uznali zastrašovanie súvisiace s drogami za bežný spôsob náboru do organizovanej trestnej činnosti; vyzýva členské štáty, aby zabezpečili, že národné stratégie zamerané na nábor detí budú výslovne zahŕňať </w:t>
      </w:r>
      <w:r w:rsidRPr="0071401E">
        <w:t>medziinštitucionálne</w:t>
      </w:r>
      <w:r w:rsidRPr="0071401E">
        <w:t xml:space="preserve"> opatrenia proti zastrašovaniu súvisiacemu s drogami, pričom sa budú opierať o nové modely najlepších postupov;</w:t>
      </w:r>
    </w:p>
    <w:p w:rsidR="00D80D51" w:rsidRPr="0071401E" w:rsidP="00D80D51" w14:paraId="26F41BA8" w14:textId="77777777">
      <w:pPr>
        <w:pStyle w:val="NormalHanging12a"/>
        <w:rPr>
          <w:bCs/>
          <w:spacing w:val="-2"/>
        </w:rPr>
      </w:pPr>
      <w:r w:rsidRPr="0071401E">
        <w:t>8.</w:t>
      </w:r>
      <w:r w:rsidRPr="0071401E">
        <w:tab/>
        <w:t>naliehavo vyzýva na prijatie prístupu, pri ktorom sa kladie dôraz na prevenciu, a na zavedenie integrovaných systémov ochrany, ktoré sú zamerané na dieťa, rešpektujú rodové hľadisko, zohľadňujú traumatické skúsenosti a sú medziodvetvové, pričom sa zameriavajú na včasnú identifikáciu ohrozených detí, komunitné intervencie a posilňovanie rodín a sociálnych služieb; zdôrazňuje pozitívnu úlohu športu, vzdelávacích združení a komunitných organizácií pri vytváraní bezpečného, zdravého a inkluzívneho prostredia;</w:t>
      </w:r>
    </w:p>
    <w:p w:rsidR="00D80D51" w:rsidRPr="0071401E" w:rsidP="00D80D51" w14:paraId="7DD5BE7D" w14:textId="77777777">
      <w:pPr>
        <w:pStyle w:val="NormalHanging12a"/>
      </w:pPr>
      <w:r w:rsidRPr="0071401E">
        <w:t>9.</w:t>
      </w:r>
      <w:r w:rsidRPr="0071401E">
        <w:tab/>
        <w:t>domnieva sa, že vzhľadom na cezhraničný charakter organizovanej trestnej činnosti sú čisto vnútroštátne opatrenia na ochranu obetí v prípade detí a mládeže nedostatočné; vyzýva na posilnenie spolupráce medzi sektormi bezpečnosti, spravodlivosti, ochrany detí, vzdelávania a zdravotníctva, ako aj na rozvoj verejno-súkromných partnerstiev s cieľom zabezpečiť integrované a medziodvetvové rámce ochranného prostredia pre deti, a to tak off-line, ako aj online;</w:t>
      </w:r>
    </w:p>
    <w:p w:rsidR="00D80D51" w:rsidRPr="0071401E" w:rsidP="00D80D51" w14:paraId="0BF9C609" w14:textId="77777777">
      <w:pPr>
        <w:pStyle w:val="NormalHanging12a"/>
        <w:rPr>
          <w:spacing w:val="-2"/>
        </w:rPr>
      </w:pPr>
      <w:r w:rsidRPr="0071401E">
        <w:t>10.</w:t>
      </w:r>
      <w:r w:rsidRPr="0071401E">
        <w:tab/>
        <w:t xml:space="preserve">zdôrazňuje, že online rozmer náboru detí je v súčasnosti kľúčovou súčasťou operačných modelov organizovaných zločineckých a teroristických skupín, ktoré systematicky využívajú digitálne služby na vyhľadávanie, oslovovanie, </w:t>
      </w:r>
      <w:r w:rsidRPr="0071401E">
        <w:t>grooming</w:t>
      </w:r>
      <w:r w:rsidRPr="0071401E">
        <w:t>, manipuláciu detí a nátlak na deti; zdôrazňuje, že nábor detí organizovanými zločineckými sieťami prostredníctvom internetu vedie k významným medzerám v presadzovaní práva v dôsledku obmedzenej spolupráce zo strany platforiem; vyzýva Komisiu a členské štáty, aby zabezpečili dodržiavanie súčasných povinností platforiem;</w:t>
      </w:r>
    </w:p>
    <w:p w:rsidR="00D80D51" w:rsidRPr="0071401E" w:rsidP="00D80D51" w14:paraId="082F0E3B" w14:textId="77777777">
      <w:pPr>
        <w:pStyle w:val="NormalHanging12a"/>
      </w:pPr>
      <w:r w:rsidRPr="0071401E">
        <w:rPr>
          <w:snapToGrid w:val="0"/>
        </w:rPr>
        <w:t>11.</w:t>
      </w:r>
      <w:r w:rsidRPr="0071401E">
        <w:rPr>
          <w:snapToGrid w:val="0"/>
        </w:rPr>
        <w:tab/>
      </w:r>
      <w:r w:rsidRPr="0071401E">
        <w:t>vyzýva Komisiu a členské štáty, aby zabezpečili dôsledné, jednotné uplatňovanie aktu o digitálnych službách, ktoré je zamerané na dodržiavanie práv dieťaťa, v súlade s usmerneniami Komisie o ochrane maloletých;</w:t>
      </w:r>
    </w:p>
    <w:p w:rsidR="00D80D51" w:rsidRPr="0071401E" w:rsidP="00D80D51" w14:paraId="1041A170" w14:textId="77777777">
      <w:pPr>
        <w:pStyle w:val="NormalHanging12a"/>
      </w:pPr>
      <w:bookmarkStart w:id="8" w:name="_Hlk231893097"/>
      <w:r w:rsidRPr="0071401E">
        <w:rPr>
          <w:snapToGrid w:val="0"/>
        </w:rPr>
        <w:t>12.</w:t>
      </w:r>
      <w:r w:rsidRPr="0071401E">
        <w:rPr>
          <w:snapToGrid w:val="0"/>
        </w:rPr>
        <w:tab/>
      </w:r>
      <w:r w:rsidRPr="0071401E">
        <w:t xml:space="preserve">vyzýva Komisiu, aby zabezpečila dôsledné presadzovanie právnych predpisov EÚ pre digitálnu oblasť a v prípade potreby posilnila povinnosti platforiem prijímať opatrenia proti vykorisťovaniu a náboru detí, ako aj posilnila ochranu maloletých na internete prostredníctvom pripravovaného aktu o digitálnej spravodlivosti, čím sa odstránia medzery v regulácii v oblastiach, ako je bezpečnosť už pri návrhu, predvolené nastavenia primerané veku a cielené obchodné praktiky zamerané na deti, pričom sa zabezpečí, aby nové opatrenia zostali primerané, založené na dôkazoch a v súlade so </w:t>
      </w:r>
      <w:r w:rsidRPr="0071401E">
        <w:t>širším regulačným rámcom pre digitálnu oblasť;</w:t>
      </w:r>
      <w:bookmarkEnd w:id="8"/>
    </w:p>
    <w:p w:rsidR="00D80D51" w:rsidRPr="0071401E" w:rsidP="00D80D51" w14:paraId="40DAFB69" w14:textId="77777777">
      <w:pPr>
        <w:pStyle w:val="NormalHanging12a"/>
      </w:pPr>
      <w:r w:rsidRPr="0071401E">
        <w:rPr>
          <w:snapToGrid w:val="0"/>
        </w:rPr>
        <w:t>13.</w:t>
      </w:r>
      <w:r w:rsidRPr="0071401E">
        <w:rPr>
          <w:snapToGrid w:val="0"/>
        </w:rPr>
        <w:tab/>
      </w:r>
      <w:r w:rsidRPr="0071401E">
        <w:t xml:space="preserve">zdôrazňuje rastúcu hrozbu, ktorú predstavuje model „zločin na objednávku“, vrátane modelu „násilie na objednávku“, prostredníctvom ktorých sú mladí ľudia online verbovaní na vykonávanie násilných úloh; víta operačnú pracovnú skupinu GRIMM zriadenú </w:t>
      </w:r>
      <w:r w:rsidRPr="0071401E">
        <w:t>Europolom</w:t>
      </w:r>
      <w:r w:rsidRPr="0071401E">
        <w:t xml:space="preserve"> a vyzýva členské štáty, </w:t>
      </w:r>
      <w:r w:rsidRPr="0071401E">
        <w:t>Europol</w:t>
      </w:r>
      <w:r w:rsidRPr="0071401E">
        <w:t xml:space="preserve"> a </w:t>
      </w:r>
      <w:r w:rsidRPr="0071401E">
        <w:t>Eurojust</w:t>
      </w:r>
      <w:r w:rsidRPr="0071401E">
        <w:t>, aby posilnili spoločné vyšetrovania zamerané na náborárov, podnecovateľov a osoby na vysokých pozíciách namiesto toho, aby sa represívne opatrenia obmedzovali len na maloletých, ktorí trestné činy páchajú;</w:t>
      </w:r>
    </w:p>
    <w:p w:rsidR="00D80D51" w:rsidRPr="0071401E" w:rsidP="00D80D51" w14:paraId="2BEBCE0D" w14:textId="6DB159A5">
      <w:pPr>
        <w:pStyle w:val="NormalHanging12a"/>
      </w:pPr>
      <w:r w:rsidRPr="0071401E">
        <w:rPr>
          <w:snapToGrid w:val="0"/>
        </w:rPr>
        <w:t>14.</w:t>
      </w:r>
      <w:r w:rsidRPr="0071401E">
        <w:rPr>
          <w:snapToGrid w:val="0"/>
        </w:rPr>
        <w:tab/>
      </w:r>
      <w:r w:rsidRPr="0071401E">
        <w:t xml:space="preserve">zdôrazňuje, že </w:t>
      </w:r>
      <w:r w:rsidRPr="0071401E" w:rsidR="00740E6E">
        <w:t xml:space="preserve">s </w:t>
      </w:r>
      <w:r w:rsidRPr="0071401E">
        <w:t>de</w:t>
      </w:r>
      <w:r w:rsidRPr="0071401E" w:rsidR="00740E6E">
        <w:t>ťmi</w:t>
      </w:r>
      <w:r w:rsidRPr="0071401E">
        <w:t xml:space="preserve"> zapojen</w:t>
      </w:r>
      <w:r w:rsidRPr="0071401E" w:rsidR="00740E6E">
        <w:t>ými</w:t>
      </w:r>
      <w:r w:rsidRPr="0071401E">
        <w:t xml:space="preserve"> do trestnej činnosti v dôsledku náboru </w:t>
      </w:r>
      <w:r w:rsidRPr="0071401E" w:rsidR="00740E6E">
        <w:t>sa musí zaobchádzať</w:t>
      </w:r>
      <w:r w:rsidRPr="0071401E">
        <w:t xml:space="preserve"> v súlade s medzinárodnými normami; pripomína, že angažovanie sa v násilných skupinách je často motivované skôr postupným nátlakom a skupinovou dynamikou než ideologickou oddanosťou;</w:t>
      </w:r>
    </w:p>
    <w:p w:rsidR="00177D98" w:rsidRPr="0071401E" w:rsidP="00D80D51" w14:paraId="448CF8E7" w14:textId="0AFD5BFC">
      <w:pPr>
        <w:pStyle w:val="NormalHanging12a"/>
        <w:rPr>
          <w:bCs/>
          <w:iCs/>
        </w:rPr>
      </w:pPr>
      <w:r w:rsidRPr="0071401E">
        <w:rPr>
          <w:bCs/>
          <w:iCs/>
        </w:rPr>
        <w:t>15</w:t>
      </w:r>
      <w:r w:rsidRPr="0071401E">
        <w:rPr>
          <w:bCs/>
          <w:iCs/>
        </w:rPr>
        <w:t>.</w:t>
      </w:r>
      <w:r w:rsidRPr="0071401E">
        <w:rPr>
          <w:bCs/>
          <w:iCs/>
        </w:rPr>
        <w:tab/>
        <w:t>zdôrazňuje, že sa vždy musia náležite zohľadniť individuálne okolnosti každého prípadu vrátane nátlaku alebo vykorisťovania, ako aj závažnosť spáchaného trestného činu, úroveň rizika, ktoré páchateľ predstavuje pre verejnú bezpečnosť, a platné práv</w:t>
      </w:r>
      <w:r w:rsidRPr="0071401E" w:rsidR="00983A01">
        <w:rPr>
          <w:bCs/>
          <w:iCs/>
        </w:rPr>
        <w:t>o</w:t>
      </w:r>
      <w:r w:rsidRPr="0071401E">
        <w:rPr>
          <w:bCs/>
          <w:iCs/>
        </w:rPr>
        <w:t xml:space="preserve"> EÚ a vnútroštátne práv</w:t>
      </w:r>
      <w:r w:rsidRPr="0071401E" w:rsidR="00983A01">
        <w:rPr>
          <w:bCs/>
          <w:iCs/>
        </w:rPr>
        <w:t>o</w:t>
      </w:r>
      <w:r w:rsidRPr="0071401E">
        <w:rPr>
          <w:bCs/>
          <w:iCs/>
        </w:rPr>
        <w:t>;</w:t>
      </w:r>
    </w:p>
    <w:p w:rsidR="00D80D51" w:rsidRPr="0071401E" w:rsidP="00D80D51" w14:paraId="104C9993" w14:textId="34BE9529">
      <w:pPr>
        <w:pStyle w:val="NormalHanging12a"/>
      </w:pPr>
      <w:r w:rsidRPr="0071401E">
        <w:rPr>
          <w:snapToGrid w:val="0"/>
        </w:rPr>
        <w:t>16</w:t>
      </w:r>
      <w:r w:rsidRPr="0071401E">
        <w:rPr>
          <w:snapToGrid w:val="0"/>
        </w:rPr>
        <w:t>.</w:t>
      </w:r>
      <w:r w:rsidRPr="0071401E">
        <w:rPr>
          <w:snapToGrid w:val="0"/>
        </w:rPr>
        <w:tab/>
      </w:r>
      <w:r w:rsidRPr="0071401E">
        <w:t xml:space="preserve">vyzýva na vytvorenie justičných systémov prispôsobených potrebám detí, rešpektujúcich rodové hľadisko a zohľadňujúcich traumatické skúsenosti, ako aj na vytvorenie prispôsobených medziodvetvových programov na opätovnú integráciu zohľadňujúcich traumatické skúsenosti vrátane prístupu k vzdelávaniu, podpore v oblasti duševného zdravia a psychosociálnej podpore, službám zameraným na zotavenie a rehabilitáciu, ochrany pred odvetnými opatreniami, a to aj pre rodiny, možností nájsť si dôstojné zamestnanie a opatrení na prevenciu </w:t>
      </w:r>
      <w:r w:rsidRPr="0071401E">
        <w:t>stigmatizácie</w:t>
      </w:r>
      <w:r w:rsidRPr="0071401E">
        <w:t xml:space="preserve"> a opätovného náboru; pripomína, že podľa smernice (EÚ) 2016/800 by obmedzenie slobody dieťaťa, najmä zadržanie, malo byť ukladané iba ako krajné opatrenie a príslušné orgány členských štátov by mali v prípade možnosti uprednostňovať alternatívne opatrenia; konštatuje, že v niektorých členských štátoch sa </w:t>
      </w:r>
      <w:r w:rsidRPr="0071401E">
        <w:t>restoratívna</w:t>
      </w:r>
      <w:r w:rsidRPr="0071401E">
        <w:t xml:space="preserve"> justícia ukázala ako účinná;</w:t>
      </w:r>
    </w:p>
    <w:p w:rsidR="00D80D51" w:rsidRPr="0071401E" w:rsidP="00D80D51" w14:paraId="65AC4F80" w14:textId="0E6D0BBB">
      <w:pPr>
        <w:pStyle w:val="NormalHanging12a"/>
      </w:pPr>
      <w:r w:rsidRPr="0071401E">
        <w:rPr>
          <w:snapToGrid w:val="0"/>
        </w:rPr>
        <w:t>17</w:t>
      </w:r>
      <w:r w:rsidRPr="0071401E">
        <w:rPr>
          <w:snapToGrid w:val="0"/>
        </w:rPr>
        <w:t>.</w:t>
      </w:r>
      <w:r w:rsidRPr="0071401E">
        <w:rPr>
          <w:snapToGrid w:val="0"/>
        </w:rPr>
        <w:tab/>
      </w:r>
      <w:r w:rsidRPr="0071401E">
        <w:t xml:space="preserve">naliehavo vyzýva členské štáty, aby zlepšili </w:t>
      </w:r>
      <w:r w:rsidRPr="0071401E">
        <w:t>interoperabilný</w:t>
      </w:r>
      <w:r w:rsidRPr="0071401E">
        <w:t xml:space="preserve"> a medziodvetvový zber a výmenu údajov o nábore detí do organizovaných zločineckých a teroristických skupín vrátane členených a harmonizovaných údajov na úrovni EÚ s cieľom lepšie pochopiť trendy a rizikové faktory; zdôrazňuje, že akékoľvek zhromažďovanie, spracúvanie alebo výmena údajov týkajúcich sa detí musí byť v plnom súlade s pravidlami ochrany údajov a so zásadou nediskriminácie;</w:t>
      </w:r>
    </w:p>
    <w:p w:rsidR="00D80D51" w:rsidRPr="0071401E" w:rsidP="00D80D51" w14:paraId="1E72DD0F" w14:textId="0867C381">
      <w:pPr>
        <w:pStyle w:val="NormalHanging12a"/>
      </w:pPr>
      <w:r w:rsidRPr="0071401E">
        <w:rPr>
          <w:snapToGrid w:val="0"/>
        </w:rPr>
        <w:t>18</w:t>
      </w:r>
      <w:r w:rsidRPr="0071401E">
        <w:rPr>
          <w:snapToGrid w:val="0"/>
        </w:rPr>
        <w:t>.</w:t>
      </w:r>
      <w:r w:rsidRPr="0071401E">
        <w:rPr>
          <w:snapToGrid w:val="0"/>
        </w:rPr>
        <w:tab/>
      </w:r>
      <w:r w:rsidRPr="0071401E">
        <w:t xml:space="preserve">podporuje rozširovanie úspešných iniciatív založených na dôkazoch, ako je projekt EÚ a UNODC STRIVE </w:t>
      </w:r>
      <w:r w:rsidRPr="0071401E">
        <w:t>Juvenile</w:t>
      </w:r>
      <w:r w:rsidRPr="0071401E">
        <w:t xml:space="preserve"> a jeho strategický nástupca, iniciatíva EÚ a UNODC </w:t>
      </w:r>
      <w:r w:rsidRPr="0071401E">
        <w:t>Protecting</w:t>
      </w:r>
      <w:r w:rsidRPr="0071401E">
        <w:t xml:space="preserve"> </w:t>
      </w:r>
      <w:r w:rsidRPr="0071401E">
        <w:t>Futures</w:t>
      </w:r>
      <w:r w:rsidRPr="0071401E">
        <w:t>, a to aj v nestabilných situáciách a situáciách ovplyvnených konfliktom;</w:t>
      </w:r>
    </w:p>
    <w:p w:rsidR="00D80D51" w:rsidRPr="0071401E" w:rsidP="00D80D51" w14:paraId="37975015" w14:textId="0FC3D2AE">
      <w:pPr>
        <w:pStyle w:val="NormalHanging12a"/>
      </w:pPr>
      <w:r w:rsidRPr="0071401E">
        <w:rPr>
          <w:snapToGrid w:val="0"/>
        </w:rPr>
        <w:t>19</w:t>
      </w:r>
      <w:r w:rsidRPr="0071401E">
        <w:rPr>
          <w:snapToGrid w:val="0"/>
        </w:rPr>
        <w:t>.</w:t>
      </w:r>
      <w:r w:rsidRPr="0071401E">
        <w:rPr>
          <w:snapToGrid w:val="0"/>
        </w:rPr>
        <w:tab/>
      </w:r>
      <w:r w:rsidRPr="0071401E">
        <w:t>vyzýva na posilnenie medzinárodnej spolupráce s partnerskými krajinami s cieľom riešiť problém cezhraničných náborových sietí a zabrániť presunu kriminálneho vykorisťovania do zahraničia;</w:t>
      </w:r>
    </w:p>
    <w:p w:rsidR="00D80D51" w:rsidRPr="0071401E" w:rsidP="00D80D51" w14:paraId="42E801FB" w14:textId="66761422">
      <w:pPr>
        <w:pStyle w:val="NormalHanging12a"/>
      </w:pPr>
      <w:r w:rsidRPr="0071401E">
        <w:rPr>
          <w:snapToGrid w:val="0"/>
        </w:rPr>
        <w:t>20</w:t>
      </w:r>
      <w:r w:rsidRPr="0071401E">
        <w:rPr>
          <w:snapToGrid w:val="0"/>
        </w:rPr>
        <w:t>.</w:t>
      </w:r>
      <w:r w:rsidRPr="0071401E">
        <w:rPr>
          <w:snapToGrid w:val="0"/>
        </w:rPr>
        <w:tab/>
      </w:r>
      <w:r w:rsidRPr="0071401E">
        <w:t xml:space="preserve">zdôrazňuje, že v rámci takejto spolupráce je potrebné venovať osobitnú pozornosť deťom v situáciách zvýšenej zraniteľnosti vrátane detí bez sprievodu a detí migrantov a zabezpečiť prístup k bezpečným kanálom na nahlasovanie, k opatrovníctvu, právnej </w:t>
      </w:r>
      <w:r w:rsidRPr="0071401E">
        <w:t>pomoci a k cezhraničným mechanizmom ochrany detí založeným na právach;</w:t>
      </w:r>
    </w:p>
    <w:p w:rsidR="00D80D51" w:rsidRPr="0071401E" w:rsidP="00D80D51" w14:paraId="59A0D78B" w14:textId="5AEF3BA9">
      <w:pPr>
        <w:pStyle w:val="NormalHanging12a"/>
      </w:pPr>
      <w:r w:rsidRPr="0071401E">
        <w:rPr>
          <w:snapToGrid w:val="0"/>
        </w:rPr>
        <w:t>2</w:t>
      </w:r>
      <w:r w:rsidRPr="0071401E" w:rsidR="00983A01">
        <w:rPr>
          <w:snapToGrid w:val="0"/>
        </w:rPr>
        <w:t>1</w:t>
      </w:r>
      <w:r w:rsidRPr="0071401E">
        <w:rPr>
          <w:snapToGrid w:val="0"/>
        </w:rPr>
        <w:t>.</w:t>
      </w:r>
      <w:r w:rsidRPr="0071401E">
        <w:rPr>
          <w:snapToGrid w:val="0"/>
        </w:rPr>
        <w:tab/>
      </w:r>
      <w:r w:rsidRPr="0071401E">
        <w:t>zdôrazňuje, že je dôležité riešiť základné príčiny, medzi ktoré patrí chudoba, nerovnosť, vylúčenie, nedostatočné vzdelanie, vystavenie násiliu a nedostatočné investície do verejných služieb; vyzýva Komisiu a členské štáty, aby zvýšili finančnú podporu organizáciám občianskej spoločnosti, komunitným iniciatívam, športovým združeniam a vzdelávacím programom v oblastiach, ktoré sú najviac vystavené náboru do organizovanej trestnej činnosti, a ponúkli tak dôveryhodné alternatívy k zločineckej dráhe;</w:t>
      </w:r>
    </w:p>
    <w:p w:rsidR="00D80D51" w:rsidRPr="0071401E" w:rsidP="00D80D51" w14:paraId="0A79D5C7" w14:textId="26D09E09">
      <w:pPr>
        <w:pStyle w:val="NormalHanging12a"/>
      </w:pPr>
      <w:r w:rsidRPr="0071401E">
        <w:rPr>
          <w:snapToGrid w:val="0"/>
        </w:rPr>
        <w:t>2</w:t>
      </w:r>
      <w:r w:rsidRPr="0071401E" w:rsidR="00983A01">
        <w:rPr>
          <w:snapToGrid w:val="0"/>
        </w:rPr>
        <w:t>2</w:t>
      </w:r>
      <w:r w:rsidRPr="0071401E">
        <w:rPr>
          <w:snapToGrid w:val="0"/>
        </w:rPr>
        <w:t>.</w:t>
      </w:r>
      <w:r w:rsidRPr="0071401E">
        <w:rPr>
          <w:snapToGrid w:val="0"/>
        </w:rPr>
        <w:tab/>
      </w:r>
      <w:r w:rsidRPr="0071401E">
        <w:t xml:space="preserve">je obzvlášť znepokojený tým, že organizované zločinecké siete sa neprimerane zameriavajú na dievčatá a mladé ženy a zneužívajú ich, a to aj prostredníctvom </w:t>
      </w:r>
      <w:r w:rsidRPr="0071401E">
        <w:t>groomingu</w:t>
      </w:r>
      <w:r w:rsidRPr="0071401E">
        <w:t>, obchodovania s ľuďmi a sexuálneho vykorisťovania; zdôrazňuje, že dievčatá čelia špecifickým prekážkam pri úniku z kriminálneho nátlaku a pri prístupe k spravodlivosti, zotaveniu a opätovnej integrácii, a vyzýva členské štáty, aby zabezpečili, že všetky preventívne, ochranné a podporné opatrenia budú zohľadňovať rodové hľadisko a budú sa konkrétne zameriavať na zraniteľnosť a potreby dievčat; v tejto súvislosti pripomína povinnosti stanovené v smernici o boji proti obchodovaniu s ľuďmi</w:t>
      </w:r>
      <w:r>
        <w:rPr>
          <w:rStyle w:val="FootnoteReference"/>
        </w:rPr>
        <w:footnoteReference w:id="8"/>
      </w:r>
      <w:r w:rsidRPr="0071401E">
        <w:t>;</w:t>
      </w:r>
    </w:p>
    <w:p w:rsidR="00D80D51" w:rsidRPr="0071401E" w:rsidP="00D80D51" w14:paraId="7F0AE471" w14:textId="09EA5674">
      <w:pPr>
        <w:pStyle w:val="NormalHanging12a"/>
      </w:pPr>
      <w:r w:rsidRPr="0071401E">
        <w:rPr>
          <w:snapToGrid w:val="0"/>
        </w:rPr>
        <w:t>2</w:t>
      </w:r>
      <w:r w:rsidRPr="0071401E" w:rsidR="00983A01">
        <w:rPr>
          <w:snapToGrid w:val="0"/>
        </w:rPr>
        <w:t>3</w:t>
      </w:r>
      <w:r w:rsidRPr="0071401E">
        <w:rPr>
          <w:snapToGrid w:val="0"/>
        </w:rPr>
        <w:t>.</w:t>
      </w:r>
      <w:r w:rsidRPr="0071401E">
        <w:rPr>
          <w:snapToGrid w:val="0"/>
        </w:rPr>
        <w:tab/>
      </w:r>
      <w:r w:rsidRPr="0071401E">
        <w:t>vyzýva Komisiu a členské štáty, aby v rámci príslušných programov EÚ vyčlenili dostatočné finančné prostriedky na prevenciu náboru detí organizovanými zločineckými a teroristickými skupinami a účinnú reakciu naň, a najmä na podporu siete horúcich liniek pre 116 000 nezvestných detí ako kľúčových partnerov viacerých inštitúcií pri identifikácii ohrozených detí;</w:t>
      </w:r>
    </w:p>
    <w:p w:rsidR="00E365E1" w:rsidRPr="0071401E" w:rsidP="00862D1A" w14:paraId="2F1FAB52" w14:textId="7E035749">
      <w:pPr>
        <w:pStyle w:val="NormalHanging12a"/>
      </w:pPr>
      <w:r w:rsidRPr="0071401E">
        <w:rPr>
          <w:snapToGrid w:val="0"/>
        </w:rPr>
        <w:t>2</w:t>
      </w:r>
      <w:r w:rsidRPr="0071401E" w:rsidR="00983A01">
        <w:rPr>
          <w:snapToGrid w:val="0"/>
        </w:rPr>
        <w:t>4</w:t>
      </w:r>
      <w:r w:rsidRPr="0071401E">
        <w:rPr>
          <w:snapToGrid w:val="0"/>
        </w:rPr>
        <w:t>.</w:t>
      </w:r>
      <w:r w:rsidRPr="0071401E">
        <w:rPr>
          <w:snapToGrid w:val="0"/>
        </w:rPr>
        <w:tab/>
      </w:r>
      <w:r w:rsidRPr="0071401E">
        <w:t xml:space="preserve">poveruje svoju predsedníčku, aby toto uznesenie postúpila Rade a Komisii, vládam a parlamentom členských štátov, </w:t>
      </w:r>
      <w:r w:rsidRPr="0071401E">
        <w:t>Europolu</w:t>
      </w:r>
      <w:r w:rsidRPr="0071401E">
        <w:t xml:space="preserve"> a Úradu Organizácie Spojených národov pre drogy a kriminalitu</w:t>
      </w:r>
      <w:r w:rsidRPr="0071401E" w:rsidR="008465C5">
        <w:t>.</w:t>
      </w:r>
    </w:p>
    <w:sectPr w:rsidSect="00B812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12AA" w14:paraId="3B35C12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12AA" w14:paraId="52EF69F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12AA" w14:paraId="4FC91E5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028F9" w:rsidRPr="00B812AA" w14:paraId="76BF4975" w14:textId="77777777">
      <w:r w:rsidRPr="00B812AA">
        <w:separator/>
      </w:r>
    </w:p>
  </w:footnote>
  <w:footnote w:type="continuationSeparator" w:id="1">
    <w:p w:rsidR="003028F9" w:rsidRPr="00B812AA" w14:paraId="67E99CEB" w14:textId="77777777">
      <w:r w:rsidRPr="00B812AA">
        <w:continuationSeparator/>
      </w:r>
    </w:p>
  </w:footnote>
  <w:footnote w:id="2">
    <w:p w:rsidR="00D80D51" w:rsidRPr="00B812AA" w:rsidP="00B812AA" w14:paraId="19BC7B7D" w14:textId="2EC35F14">
      <w:pPr>
        <w:pStyle w:val="FootnoteText"/>
        <w:ind w:left="567" w:hanging="567"/>
        <w:rPr>
          <w:sz w:val="24"/>
          <w:lang w:val="sk-SK"/>
        </w:rPr>
      </w:pPr>
      <w:r w:rsidRPr="00B812AA">
        <w:rPr>
          <w:rStyle w:val="FootnoteReference"/>
          <w:sz w:val="24"/>
          <w:lang w:val="sk-SK"/>
        </w:rPr>
        <w:footnoteRef/>
      </w:r>
      <w:r w:rsidRPr="00B812AA" w:rsidR="00B812AA">
        <w:rPr>
          <w:sz w:val="24"/>
          <w:lang w:val="sk-SK"/>
        </w:rPr>
        <w:t xml:space="preserve"> </w:t>
      </w:r>
      <w:r w:rsidRPr="00B812AA" w:rsidR="00B812AA">
        <w:rPr>
          <w:sz w:val="24"/>
          <w:lang w:val="sk-SK"/>
        </w:rPr>
        <w:tab/>
      </w:r>
      <w:r w:rsidRPr="00B812AA">
        <w:rPr>
          <w:sz w:val="24"/>
          <w:lang w:val="sk-SK"/>
        </w:rPr>
        <w:t xml:space="preserve">Ú. v. EÚ L 277, 27.10.2022, s. 1, ELI: </w:t>
      </w:r>
      <w:hyperlink r:id="rId1" w:history="1">
        <w:r w:rsidRPr="00B812AA">
          <w:rPr>
            <w:rStyle w:val="Hyperlink"/>
            <w:sz w:val="24"/>
            <w:lang w:val="sk-SK"/>
          </w:rPr>
          <w:t>http://data.europa.eu/eli/reg/2022/2065/oj</w:t>
        </w:r>
      </w:hyperlink>
      <w:r w:rsidRPr="00B812AA">
        <w:rPr>
          <w:sz w:val="24"/>
          <w:lang w:val="sk-SK"/>
        </w:rPr>
        <w:t>.</w:t>
      </w:r>
    </w:p>
  </w:footnote>
  <w:footnote w:id="3">
    <w:p w:rsidR="00D80D51" w:rsidRPr="00B812AA" w:rsidP="00B812AA" w14:paraId="6EDA3410" w14:textId="1BA056E0">
      <w:pPr>
        <w:pStyle w:val="FootnoteText"/>
        <w:ind w:left="567" w:hanging="567"/>
        <w:rPr>
          <w:sz w:val="24"/>
          <w:lang w:val="sk-SK"/>
        </w:rPr>
      </w:pPr>
      <w:r w:rsidRPr="00B812AA">
        <w:rPr>
          <w:rStyle w:val="FootnoteReference"/>
          <w:sz w:val="24"/>
          <w:szCs w:val="16"/>
          <w:lang w:val="sk-SK"/>
        </w:rPr>
        <w:footnoteRef/>
      </w:r>
      <w:r w:rsidRPr="00B812AA" w:rsidR="00B812AA">
        <w:rPr>
          <w:sz w:val="24"/>
          <w:lang w:val="sk-SK"/>
        </w:rPr>
        <w:t xml:space="preserve"> </w:t>
      </w:r>
      <w:r w:rsidRPr="00B812AA" w:rsidR="00B812AA">
        <w:rPr>
          <w:sz w:val="24"/>
          <w:lang w:val="sk-SK"/>
        </w:rPr>
        <w:tab/>
      </w:r>
      <w:r w:rsidRPr="00B812AA">
        <w:rPr>
          <w:sz w:val="24"/>
          <w:lang w:val="sk-SK"/>
        </w:rPr>
        <w:t xml:space="preserve">Ú. v. </w:t>
      </w:r>
      <w:r w:rsidRPr="00B812AA">
        <w:rPr>
          <w:sz w:val="24"/>
          <w:lang w:val="sk-SK"/>
        </w:rPr>
        <w:t xml:space="preserve">EÚ C, C/2025/5519, 10.10.2025, ELI: </w:t>
      </w:r>
      <w:hyperlink r:id="rId2" w:history="1">
        <w:r w:rsidRPr="00B812AA">
          <w:rPr>
            <w:rStyle w:val="Hyperlink"/>
            <w:sz w:val="24"/>
            <w:lang w:val="sk-SK"/>
          </w:rPr>
          <w:t>http://data.europa.eu/eli/C/2025/5519/oj</w:t>
        </w:r>
      </w:hyperlink>
      <w:r w:rsidRPr="00B812AA">
        <w:rPr>
          <w:sz w:val="24"/>
          <w:lang w:val="sk-SK"/>
        </w:rPr>
        <w:t xml:space="preserve">. </w:t>
      </w:r>
    </w:p>
  </w:footnote>
  <w:footnote w:id="4">
    <w:p w:rsidR="00D80D51" w:rsidRPr="00B812AA" w:rsidP="00B812AA" w14:paraId="440C38DB" w14:textId="177228F6">
      <w:pPr>
        <w:pStyle w:val="FootnoteText"/>
        <w:ind w:left="567" w:hanging="567"/>
        <w:rPr>
          <w:sz w:val="24"/>
          <w:lang w:val="sk-SK"/>
        </w:rPr>
      </w:pPr>
      <w:r w:rsidRPr="00B812AA">
        <w:rPr>
          <w:rStyle w:val="FootnoteReference"/>
          <w:sz w:val="24"/>
          <w:lang w:val="sk-SK"/>
        </w:rPr>
        <w:footnoteRef/>
      </w:r>
      <w:r w:rsidRPr="00B812AA" w:rsidR="00B812AA">
        <w:rPr>
          <w:sz w:val="24"/>
          <w:lang w:val="sk-SK"/>
        </w:rPr>
        <w:t xml:space="preserve"> </w:t>
      </w:r>
      <w:r w:rsidRPr="00B812AA" w:rsidR="00B812AA">
        <w:rPr>
          <w:sz w:val="24"/>
          <w:lang w:val="sk-SK"/>
        </w:rPr>
        <w:tab/>
      </w:r>
      <w:r w:rsidRPr="00B812AA">
        <w:rPr>
          <w:sz w:val="24"/>
          <w:lang w:val="sk-SK"/>
        </w:rPr>
        <w:t>Prijaté texty, P10_TA(2026)0007.</w:t>
      </w:r>
    </w:p>
  </w:footnote>
  <w:footnote w:id="5">
    <w:p w:rsidR="00D80D51" w:rsidRPr="00B812AA" w:rsidP="00B812AA" w14:paraId="23EE0AE4" w14:textId="3B45F874">
      <w:pPr>
        <w:pStyle w:val="FootnoteText"/>
        <w:ind w:left="567" w:hanging="567"/>
        <w:rPr>
          <w:sz w:val="24"/>
          <w:lang w:val="sk-SK"/>
        </w:rPr>
      </w:pPr>
      <w:r w:rsidRPr="00B812AA">
        <w:rPr>
          <w:rStyle w:val="FootnoteReference"/>
          <w:sz w:val="24"/>
          <w:lang w:val="sk-SK"/>
        </w:rPr>
        <w:footnoteRef/>
      </w:r>
      <w:r w:rsidRPr="00B812AA" w:rsidR="00B812AA">
        <w:rPr>
          <w:sz w:val="24"/>
          <w:lang w:val="sk-SK"/>
        </w:rPr>
        <w:t xml:space="preserve"> </w:t>
      </w:r>
      <w:r w:rsidRPr="00B812AA" w:rsidR="00B812AA">
        <w:rPr>
          <w:sz w:val="24"/>
          <w:lang w:val="sk-SK"/>
        </w:rPr>
        <w:tab/>
      </w:r>
      <w:r w:rsidRPr="00B812AA">
        <w:rPr>
          <w:sz w:val="24"/>
          <w:lang w:val="sk-SK"/>
        </w:rPr>
        <w:t>Ú. v. </w:t>
      </w:r>
      <w:r w:rsidRPr="00B812AA">
        <w:rPr>
          <w:sz w:val="24"/>
          <w:lang w:val="sk-SK"/>
        </w:rPr>
        <w:t>EÚ</w:t>
      </w:r>
      <w:r w:rsidR="004E21DB">
        <w:rPr>
          <w:sz w:val="24"/>
          <w:lang w:val="sk-SK"/>
        </w:rPr>
        <w:t xml:space="preserve"> </w:t>
      </w:r>
      <w:r w:rsidR="004E21DB">
        <w:rPr>
          <w:sz w:val="24"/>
          <w:lang w:val="sk-SK"/>
        </w:rPr>
        <w:t>L</w:t>
      </w:r>
      <w:r w:rsidRPr="00B812AA">
        <w:rPr>
          <w:sz w:val="24"/>
          <w:lang w:val="sk-SK"/>
        </w:rPr>
        <w:t xml:space="preserve"> 132, 21.5.2016, </w:t>
      </w:r>
      <w:r w:rsidR="004E21DB">
        <w:rPr>
          <w:sz w:val="24"/>
          <w:lang w:val="sk-SK"/>
        </w:rPr>
        <w:t>s</w:t>
      </w:r>
      <w:r w:rsidRPr="00B812AA">
        <w:rPr>
          <w:sz w:val="24"/>
          <w:lang w:val="sk-SK"/>
        </w:rPr>
        <w:t xml:space="preserve">. 1, ELI: </w:t>
      </w:r>
      <w:hyperlink r:id="rId3" w:history="1">
        <w:r w:rsidRPr="00B812AA">
          <w:rPr>
            <w:rStyle w:val="Hyperlink"/>
            <w:sz w:val="24"/>
            <w:lang w:val="sk-SK"/>
          </w:rPr>
          <w:t>http://data.europa.e</w:t>
        </w:r>
        <w:r w:rsidRPr="00B812AA">
          <w:rPr>
            <w:rStyle w:val="Hyperlink"/>
            <w:sz w:val="24"/>
            <w:lang w:val="sk-SK"/>
          </w:rPr>
          <w:t>u</w:t>
        </w:r>
        <w:r w:rsidRPr="00B812AA">
          <w:rPr>
            <w:rStyle w:val="Hyperlink"/>
            <w:sz w:val="24"/>
            <w:lang w:val="sk-SK"/>
          </w:rPr>
          <w:t>/eli/dir/2016/800/oj</w:t>
        </w:r>
      </w:hyperlink>
      <w:r w:rsidRPr="00B812AA">
        <w:rPr>
          <w:sz w:val="24"/>
          <w:lang w:val="sk-SK"/>
        </w:rPr>
        <w:t>.</w:t>
      </w:r>
    </w:p>
  </w:footnote>
  <w:footnote w:id="6">
    <w:p w:rsidR="00D80D51" w:rsidRPr="00B812AA" w:rsidP="00B812AA" w14:paraId="7E24A4CA" w14:textId="379148D1">
      <w:pPr>
        <w:pStyle w:val="FootnoteText"/>
        <w:ind w:left="567" w:hanging="567"/>
        <w:rPr>
          <w:sz w:val="24"/>
          <w:lang w:val="sk-SK"/>
        </w:rPr>
      </w:pPr>
      <w:r w:rsidRPr="00B812AA">
        <w:rPr>
          <w:rStyle w:val="FootnoteReference"/>
          <w:sz w:val="24"/>
          <w:lang w:val="sk-SK"/>
        </w:rPr>
        <w:footnoteRef/>
      </w:r>
      <w:r w:rsidRPr="00B812AA" w:rsidR="00B812AA">
        <w:rPr>
          <w:sz w:val="24"/>
          <w:lang w:val="sk-SK"/>
        </w:rPr>
        <w:t xml:space="preserve"> </w:t>
      </w:r>
      <w:r w:rsidRPr="00B812AA" w:rsidR="00B812AA">
        <w:rPr>
          <w:sz w:val="24"/>
          <w:lang w:val="sk-SK"/>
        </w:rPr>
        <w:tab/>
      </w:r>
      <w:r w:rsidRPr="00B812AA">
        <w:rPr>
          <w:sz w:val="24"/>
          <w:lang w:val="sk-SK"/>
        </w:rPr>
        <w:t xml:space="preserve">Správa </w:t>
      </w:r>
      <w:r w:rsidRPr="00B812AA">
        <w:rPr>
          <w:sz w:val="24"/>
          <w:lang w:val="sk-SK"/>
        </w:rPr>
        <w:t>Europolu</w:t>
      </w:r>
      <w:r w:rsidRPr="00B812AA">
        <w:rPr>
          <w:sz w:val="24"/>
          <w:lang w:val="sk-SK"/>
        </w:rPr>
        <w:t xml:space="preserve"> zo 4. </w:t>
      </w:r>
      <w:r w:rsidRPr="00B812AA">
        <w:rPr>
          <w:sz w:val="24"/>
          <w:lang w:val="sk-SK"/>
        </w:rPr>
        <w:t>apríla 2024 s názvom „</w:t>
      </w:r>
      <w:hyperlink r:id="rId4" w:tgtFrame="_blank" w:history="1">
        <w:r w:rsidRPr="00B812AA">
          <w:rPr>
            <w:rStyle w:val="Hyperlink"/>
            <w:sz w:val="24"/>
            <w:lang w:val="sk-SK"/>
          </w:rPr>
          <w:t>Dekódovanie najnebezpečnejších zločineckých sietí v EÚ</w:t>
        </w:r>
      </w:hyperlink>
      <w:r w:rsidRPr="00B812AA">
        <w:rPr>
          <w:sz w:val="24"/>
          <w:lang w:val="sk-SK"/>
        </w:rPr>
        <w:t>“, aktualizovaná v máji 2026.</w:t>
      </w:r>
    </w:p>
  </w:footnote>
  <w:footnote w:id="7">
    <w:p w:rsidR="00D80D51" w:rsidRPr="00B812AA" w:rsidP="00B812AA" w14:paraId="5ED2E306" w14:textId="20843DE6">
      <w:pPr>
        <w:pStyle w:val="FootnoteText"/>
        <w:ind w:left="567" w:hanging="567"/>
        <w:rPr>
          <w:sz w:val="24"/>
          <w:lang w:val="sk-SK"/>
        </w:rPr>
      </w:pPr>
      <w:r w:rsidRPr="00B812AA">
        <w:rPr>
          <w:rStyle w:val="FootnoteReference"/>
          <w:sz w:val="24"/>
          <w:lang w:val="sk-SK"/>
        </w:rPr>
        <w:footnoteRef/>
      </w:r>
      <w:r w:rsidRPr="00B812AA" w:rsidR="00B812AA">
        <w:rPr>
          <w:sz w:val="24"/>
          <w:lang w:val="sk-SK"/>
        </w:rPr>
        <w:t xml:space="preserve"> </w:t>
      </w:r>
      <w:r w:rsidRPr="00B812AA" w:rsidR="00B812AA">
        <w:rPr>
          <w:sz w:val="24"/>
          <w:lang w:val="sk-SK"/>
        </w:rPr>
        <w:tab/>
      </w:r>
      <w:r w:rsidRPr="00B812AA">
        <w:rPr>
          <w:sz w:val="24"/>
          <w:lang w:val="sk-SK"/>
        </w:rPr>
        <w:t>Smernica Európskeho parlamentu a Rady 2013/29/EÚ z 12. júna 2013 o harmonizácii zákonov členských štátov týkajúcich sa sprístupňovania pyrotechnických výrobkov na trhu (Ú. v. EÚ L 178, 28.6.2013, s. </w:t>
      </w:r>
      <w:r w:rsidRPr="00B812AA">
        <w:rPr>
          <w:sz w:val="24"/>
          <w:lang w:val="sk-SK"/>
        </w:rPr>
        <w:t xml:space="preserve">27, ELI: </w:t>
      </w:r>
      <w:hyperlink r:id="rId5" w:history="1">
        <w:r w:rsidRPr="00B812AA">
          <w:rPr>
            <w:rStyle w:val="Hyperlink"/>
            <w:sz w:val="24"/>
            <w:lang w:val="sk-SK"/>
          </w:rPr>
          <w:t>http://data.europa.eu/eli/dir/2013/29/oj</w:t>
        </w:r>
      </w:hyperlink>
      <w:r w:rsidRPr="00B812AA">
        <w:rPr>
          <w:sz w:val="24"/>
          <w:lang w:val="sk-SK"/>
        </w:rPr>
        <w:t>).</w:t>
      </w:r>
    </w:p>
  </w:footnote>
  <w:footnote w:id="8">
    <w:p w:rsidR="00D80D51" w:rsidRPr="00B812AA" w:rsidP="00B812AA" w14:paraId="5B5C50F1" w14:textId="2AB6E2D1">
      <w:pPr>
        <w:pStyle w:val="FootnoteText"/>
        <w:ind w:left="567" w:hanging="567"/>
        <w:rPr>
          <w:sz w:val="24"/>
          <w:lang w:val="sk-SK"/>
        </w:rPr>
      </w:pPr>
      <w:r w:rsidRPr="00B812AA">
        <w:rPr>
          <w:rStyle w:val="FootnoteReference"/>
          <w:sz w:val="24"/>
          <w:lang w:val="sk-SK"/>
        </w:rPr>
        <w:footnoteRef/>
      </w:r>
      <w:r w:rsidRPr="00B812AA" w:rsidR="00B812AA">
        <w:rPr>
          <w:sz w:val="24"/>
          <w:lang w:val="sk-SK"/>
        </w:rPr>
        <w:t xml:space="preserve"> </w:t>
      </w:r>
      <w:r w:rsidRPr="00B812AA" w:rsidR="00B812AA">
        <w:rPr>
          <w:sz w:val="24"/>
          <w:lang w:val="sk-SK"/>
        </w:rPr>
        <w:tab/>
      </w:r>
      <w:r w:rsidRPr="00B812AA">
        <w:rPr>
          <w:sz w:val="24"/>
          <w:lang w:val="sk-SK"/>
        </w:rPr>
        <w:t xml:space="preserve">Smernica Európskeho parlamentu a Rady (EÚ) 2024/1712 z 13. júna 2024, ktorou sa mení smernica 2011/36/EÚ o prevencii obchodovania s ľuďmi a boji proti nemu a o ochrane obetí obchodovania (Ú. v. </w:t>
      </w:r>
      <w:r w:rsidRPr="00B812AA">
        <w:rPr>
          <w:sz w:val="24"/>
          <w:lang w:val="sk-SK"/>
        </w:rPr>
        <w:t xml:space="preserve">EÚ L, 2024/1712, 24.6.2024, ELI: </w:t>
      </w:r>
      <w:hyperlink r:id="rId6" w:history="1">
        <w:r w:rsidRPr="00B812AA">
          <w:rPr>
            <w:rStyle w:val="Hyperlink"/>
            <w:sz w:val="24"/>
            <w:lang w:val="sk-SK"/>
          </w:rPr>
          <w:t>http://data.europa.eu/eli/dir/2024/1712/oj</w:t>
        </w:r>
      </w:hyperlink>
      <w:r w:rsidRPr="00B812AA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12AA" w14:paraId="5E44904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12AA" w14:paraId="58B2461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12AA" w14:paraId="7D68C54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7140045">
    <w:abstractNumId w:val="9"/>
  </w:num>
  <w:num w:numId="2" w16cid:durableId="181405779">
    <w:abstractNumId w:val="9"/>
  </w:num>
  <w:num w:numId="3" w16cid:durableId="1180007351">
    <w:abstractNumId w:val="7"/>
  </w:num>
  <w:num w:numId="4" w16cid:durableId="850146009">
    <w:abstractNumId w:val="7"/>
  </w:num>
  <w:num w:numId="5" w16cid:durableId="1493369118">
    <w:abstractNumId w:val="6"/>
  </w:num>
  <w:num w:numId="6" w16cid:durableId="1057315414">
    <w:abstractNumId w:val="6"/>
  </w:num>
  <w:num w:numId="7" w16cid:durableId="1141580951">
    <w:abstractNumId w:val="5"/>
  </w:num>
  <w:num w:numId="8" w16cid:durableId="2007440977">
    <w:abstractNumId w:val="5"/>
  </w:num>
  <w:num w:numId="9" w16cid:durableId="1638295259">
    <w:abstractNumId w:val="4"/>
  </w:num>
  <w:num w:numId="10" w16cid:durableId="367611501">
    <w:abstractNumId w:val="4"/>
  </w:num>
  <w:num w:numId="11" w16cid:durableId="998995751">
    <w:abstractNumId w:val="8"/>
  </w:num>
  <w:num w:numId="12" w16cid:durableId="1874339943">
    <w:abstractNumId w:val="8"/>
  </w:num>
  <w:num w:numId="13" w16cid:durableId="1068574417">
    <w:abstractNumId w:val="3"/>
  </w:num>
  <w:num w:numId="14" w16cid:durableId="1128426761">
    <w:abstractNumId w:val="3"/>
  </w:num>
  <w:num w:numId="15" w16cid:durableId="432436845">
    <w:abstractNumId w:val="2"/>
  </w:num>
  <w:num w:numId="16" w16cid:durableId="2052880078">
    <w:abstractNumId w:val="2"/>
  </w:num>
  <w:num w:numId="17" w16cid:durableId="971012700">
    <w:abstractNumId w:val="1"/>
  </w:num>
  <w:num w:numId="18" w16cid:durableId="226309914">
    <w:abstractNumId w:val="1"/>
  </w:num>
  <w:num w:numId="19" w16cid:durableId="76832159">
    <w:abstractNumId w:val="0"/>
  </w:num>
  <w:num w:numId="20" w16cid:durableId="1848788414">
    <w:abstractNumId w:val="0"/>
  </w:num>
  <w:num w:numId="21" w16cid:durableId="22706500">
    <w:abstractNumId w:val="9"/>
  </w:num>
  <w:num w:numId="22" w16cid:durableId="1490361960">
    <w:abstractNumId w:val="7"/>
  </w:num>
  <w:num w:numId="23" w16cid:durableId="890534079">
    <w:abstractNumId w:val="6"/>
  </w:num>
  <w:num w:numId="24" w16cid:durableId="1097212876">
    <w:abstractNumId w:val="5"/>
  </w:num>
  <w:num w:numId="25" w16cid:durableId="2051298720">
    <w:abstractNumId w:val="4"/>
  </w:num>
  <w:num w:numId="26" w16cid:durableId="1999991096">
    <w:abstractNumId w:val="8"/>
  </w:num>
  <w:num w:numId="27" w16cid:durableId="345131267">
    <w:abstractNumId w:val="3"/>
  </w:num>
  <w:num w:numId="28" w16cid:durableId="716660731">
    <w:abstractNumId w:val="2"/>
  </w:num>
  <w:num w:numId="29" w16cid:durableId="429856260">
    <w:abstractNumId w:val="1"/>
  </w:num>
  <w:num w:numId="30" w16cid:durableId="685375665">
    <w:abstractNumId w:val="0"/>
  </w:num>
  <w:num w:numId="31" w16cid:durableId="1035084919">
    <w:abstractNumId w:val="9"/>
  </w:num>
  <w:num w:numId="32" w16cid:durableId="723675060">
    <w:abstractNumId w:val="7"/>
  </w:num>
  <w:num w:numId="33" w16cid:durableId="2042897263">
    <w:abstractNumId w:val="6"/>
  </w:num>
  <w:num w:numId="34" w16cid:durableId="3017123">
    <w:abstractNumId w:val="5"/>
  </w:num>
  <w:num w:numId="35" w16cid:durableId="563219915">
    <w:abstractNumId w:val="4"/>
  </w:num>
  <w:num w:numId="36" w16cid:durableId="1256090604">
    <w:abstractNumId w:val="8"/>
  </w:num>
  <w:num w:numId="37" w16cid:durableId="1031885103">
    <w:abstractNumId w:val="3"/>
  </w:num>
  <w:num w:numId="38" w16cid:durableId="616181502">
    <w:abstractNumId w:val="2"/>
  </w:num>
  <w:num w:numId="39" w16cid:durableId="659234802">
    <w:abstractNumId w:val="1"/>
  </w:num>
  <w:num w:numId="40" w16cid:durableId="1892108047">
    <w:abstractNumId w:val="0"/>
  </w:num>
  <w:num w:numId="41" w16cid:durableId="1748308510">
    <w:abstractNumId w:val="10"/>
  </w:num>
  <w:num w:numId="42" w16cid:durableId="2145348996">
    <w:abstractNumId w:val="10"/>
  </w:num>
  <w:num w:numId="43" w16cid:durableId="1236552502">
    <w:abstractNumId w:val="10"/>
  </w:num>
  <w:num w:numId="44" w16cid:durableId="1131821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8F9"/>
    <w:rsid w:val="00002272"/>
    <w:rsid w:val="000215B8"/>
    <w:rsid w:val="00064002"/>
    <w:rsid w:val="000677B9"/>
    <w:rsid w:val="000831BA"/>
    <w:rsid w:val="000A42CC"/>
    <w:rsid w:val="000E7DD9"/>
    <w:rsid w:val="0010095E"/>
    <w:rsid w:val="00125B37"/>
    <w:rsid w:val="00177D98"/>
    <w:rsid w:val="00187494"/>
    <w:rsid w:val="001F32AE"/>
    <w:rsid w:val="002767FF"/>
    <w:rsid w:val="002B18FE"/>
    <w:rsid w:val="002B5493"/>
    <w:rsid w:val="003028F9"/>
    <w:rsid w:val="00343214"/>
    <w:rsid w:val="00361C00"/>
    <w:rsid w:val="00395FA1"/>
    <w:rsid w:val="003E15D4"/>
    <w:rsid w:val="00411CCE"/>
    <w:rsid w:val="0041666E"/>
    <w:rsid w:val="00421060"/>
    <w:rsid w:val="00471C19"/>
    <w:rsid w:val="00476E07"/>
    <w:rsid w:val="004867E3"/>
    <w:rsid w:val="00494A28"/>
    <w:rsid w:val="004C0004"/>
    <w:rsid w:val="004C5D52"/>
    <w:rsid w:val="004E21DB"/>
    <w:rsid w:val="0050519A"/>
    <w:rsid w:val="005072A1"/>
    <w:rsid w:val="00514517"/>
    <w:rsid w:val="00542384"/>
    <w:rsid w:val="00545827"/>
    <w:rsid w:val="00560270"/>
    <w:rsid w:val="005C2568"/>
    <w:rsid w:val="005F1B17"/>
    <w:rsid w:val="006037C0"/>
    <w:rsid w:val="006631B6"/>
    <w:rsid w:val="00680577"/>
    <w:rsid w:val="006F74FA"/>
    <w:rsid w:val="0071401E"/>
    <w:rsid w:val="00731ADD"/>
    <w:rsid w:val="00734777"/>
    <w:rsid w:val="00740E6E"/>
    <w:rsid w:val="00747932"/>
    <w:rsid w:val="00751A4A"/>
    <w:rsid w:val="00756632"/>
    <w:rsid w:val="00762C74"/>
    <w:rsid w:val="00786EC0"/>
    <w:rsid w:val="00791021"/>
    <w:rsid w:val="007D1690"/>
    <w:rsid w:val="007E22AD"/>
    <w:rsid w:val="00817416"/>
    <w:rsid w:val="00842779"/>
    <w:rsid w:val="008465C5"/>
    <w:rsid w:val="00862D1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A01"/>
    <w:rsid w:val="00A1687D"/>
    <w:rsid w:val="00A43E52"/>
    <w:rsid w:val="00A4678D"/>
    <w:rsid w:val="00A778C7"/>
    <w:rsid w:val="00AB2137"/>
    <w:rsid w:val="00AB441E"/>
    <w:rsid w:val="00AB6293"/>
    <w:rsid w:val="00AE0928"/>
    <w:rsid w:val="00AF3B82"/>
    <w:rsid w:val="00B12E95"/>
    <w:rsid w:val="00B22876"/>
    <w:rsid w:val="00B558F0"/>
    <w:rsid w:val="00B812A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D5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74202"/>
    <w:rsid w:val="00F84A34"/>
    <w:rsid w:val="00F87713"/>
    <w:rsid w:val="00FB4360"/>
    <w:rsid w:val="00FC3105"/>
    <w:rsid w:val="00FD0C70"/>
  </w:rsids>
  <w:docVars>
    <w:docVar w:name="dvdocse" w:val="B10-0275/2026"/>
    <w:docVar w:name="dvlangue" w:val="SK"/>
    <w:docVar w:name="dvnumam" w:val="0"/>
    <w:docVar w:name="dvpe" w:val="783.329"/>
    <w:docVar w:name="dvtitre" w:val="Uznesenie Európskeho parlamentu z/zo xx. xxx 2026 o nábore detí organizovanou trestnou činnosťou(2026/272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8E3EBB"/>
  <w15:chartTrackingRefBased/>
  <w15:docId w15:val="{1949C049-C0A9-42F8-BD61-FF722CAA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0D5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D80D5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80D5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80D51"/>
    <w:rPr>
      <w:sz w:val="24"/>
      <w:lang w:val="sk-SK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rsid w:val="00D80D51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8465C5"/>
    <w:rPr>
      <w:sz w:val="24"/>
      <w:lang w:val="sk-SK"/>
    </w:rPr>
  </w:style>
  <w:style w:type="character" w:styleId="FollowedHyperlink">
    <w:name w:val="FollowedHyperlink"/>
    <w:basedOn w:val="DefaultParagraphFont"/>
    <w:rsid w:val="004E2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2/2065/oj" TargetMode="External" /><Relationship Id="rId2" Type="http://schemas.openxmlformats.org/officeDocument/2006/relationships/hyperlink" Target="http://data.europa.eu/eli/C/2025/5519/oj" TargetMode="External" /><Relationship Id="rId3" Type="http://schemas.openxmlformats.org/officeDocument/2006/relationships/hyperlink" Target="http://data.europa.eu/eli/dir/2016/800/oj" TargetMode="External" /><Relationship Id="rId4" Type="http://schemas.openxmlformats.org/officeDocument/2006/relationships/hyperlink" Target="https://www.europol.europa.eu/publication-events/main-reports/decoding-eus-most-threatening-criminal-networks" TargetMode="External" /><Relationship Id="rId5" Type="http://schemas.openxmlformats.org/officeDocument/2006/relationships/hyperlink" Target="http://data.europa.eu/eli/dir/2013/29/oj" TargetMode="External" /><Relationship Id="rId6" Type="http://schemas.openxmlformats.org/officeDocument/2006/relationships/hyperlink" Target="http://data.europa.eu/eli/dir/2024/171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2567</Words>
  <Characters>16499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2026-07-23T09:12:00Z</dcterms:created>
  <dcterms:modified xsi:type="dcterms:W3CDTF">2026-07-23T09:12:00Z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B10-0275/2026</vt:lpwstr>
  </property>
  <property fmtid="{D5CDD505-2E9C-101B-9397-08002B2CF9AE}" pid="4" name="&lt;Type&gt;">
    <vt:lpwstr>RR</vt:lpwstr>
  </property>
</Properties>
</file>