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604BBA8" w14:textId="77777777" w:rsidTr="0010095E">
        <w:tblPrEx>
          <w:tblW w:w="9072" w:type="dxa"/>
          <w:tblLook w:val="01E0"/>
        </w:tblPrEx>
        <w:trPr>
          <w:trHeight w:hRule="exact" w:val="1418"/>
        </w:trPr>
        <w:tc>
          <w:tcPr>
            <w:tcW w:w="6804" w:type="dxa"/>
            <w:shd w:val="clear" w:color="auto" w:fill="auto"/>
            <w:vAlign w:val="center"/>
          </w:tcPr>
          <w:p w:rsidR="00751A4A" w:rsidRPr="00C72B6F" w:rsidP="0010095E" w14:paraId="08F781B3" w14:textId="77777777">
            <w:pPr>
              <w:pStyle w:val="EPName"/>
            </w:pPr>
            <w:r w:rsidRPr="00C72B6F">
              <w:t>Europaparlamentet</w:t>
            </w:r>
          </w:p>
          <w:p w:rsidR="00751A4A" w:rsidRPr="00C72B6F" w:rsidP="005F1B17" w14:paraId="1A375784" w14:textId="77777777">
            <w:pPr>
              <w:pStyle w:val="EPTerm"/>
              <w:rPr>
                <w:rStyle w:val="HideTWBExt"/>
                <w:noProof w:val="0"/>
                <w:vanish w:val="0"/>
                <w:color w:val="auto"/>
              </w:rPr>
            </w:pPr>
            <w:r w:rsidRPr="00C72B6F">
              <w:t>2024</w:t>
            </w:r>
            <w:r w:rsidRPr="00C72B6F" w:rsidR="00817416">
              <w:t>-202</w:t>
            </w:r>
            <w:r w:rsidRPr="00C72B6F">
              <w:t>9</w:t>
            </w:r>
          </w:p>
        </w:tc>
        <w:tc>
          <w:tcPr>
            <w:tcW w:w="2268" w:type="dxa"/>
            <w:shd w:val="clear" w:color="auto" w:fill="auto"/>
          </w:tcPr>
          <w:p w:rsidR="00751A4A" w:rsidRPr="00C72B6F" w:rsidP="0010095E" w14:paraId="5825323A" w14:textId="77777777">
            <w:pPr>
              <w:pStyle w:val="EPLogo"/>
            </w:pPr>
            <w:r w:rsidRPr="00C72B6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72B6F" w:rsidP="004C5D52" w14:paraId="1E9FD4AE" w14:textId="77777777">
      <w:pPr>
        <w:pStyle w:val="LineTop"/>
      </w:pPr>
    </w:p>
    <w:p w:rsidR="00680577" w:rsidRPr="00C72B6F" w:rsidP="00680577" w14:paraId="74AED6F9" w14:textId="77777777">
      <w:pPr>
        <w:pStyle w:val="EPBodyTA1"/>
      </w:pPr>
      <w:r w:rsidRPr="00C72B6F">
        <w:t>ANTAGNA TEXTER</w:t>
      </w:r>
    </w:p>
    <w:p w:rsidR="00D058B8" w:rsidRPr="00C72B6F" w:rsidP="00D058B8" w14:paraId="7279FE66" w14:textId="77777777">
      <w:pPr>
        <w:pStyle w:val="LineBottom"/>
      </w:pPr>
    </w:p>
    <w:p w:rsidR="00544D87" w:rsidRPr="00C72B6F" w:rsidP="00544D87" w14:paraId="4D217748" w14:textId="6557C159">
      <w:pPr>
        <w:pStyle w:val="ATHeading1"/>
      </w:pPr>
      <w:bookmarkStart w:id="0" w:name="TANumber"/>
      <w:r w:rsidRPr="00C72B6F">
        <w:t>P10_TA(2026)</w:t>
      </w:r>
      <w:bookmarkEnd w:id="0"/>
      <w:r w:rsidRPr="00C72B6F" w:rsidR="00682FA1">
        <w:t>0</w:t>
      </w:r>
      <w:r w:rsidR="00682FA1">
        <w:t>230</w:t>
      </w:r>
    </w:p>
    <w:p w:rsidR="00544D87" w:rsidRPr="00C72B6F" w:rsidP="00544D87" w14:paraId="17E9D21C" w14:textId="77777777">
      <w:pPr>
        <w:pStyle w:val="ATHeading2"/>
      </w:pPr>
      <w:bookmarkStart w:id="1" w:name="title"/>
      <w:r w:rsidRPr="00C72B6F">
        <w:t>Organiserade kriminella gruppers rekrytering av barn</w:t>
      </w:r>
      <w:bookmarkEnd w:id="1"/>
    </w:p>
    <w:p w:rsidR="00544D87" w:rsidRPr="00C72B6F" w:rsidP="00544D87" w14:paraId="002E448F" w14:textId="77777777">
      <w:pPr>
        <w:rPr>
          <w:i/>
          <w:vanish/>
        </w:rPr>
      </w:pPr>
      <w:r>
        <w:rPr>
          <w:i/>
        </w:rPr>
        <w:fldChar w:fldCharType="begin"/>
      </w:r>
      <w:r w:rsidRPr="00C72B6F">
        <w:rPr>
          <w:i/>
        </w:rPr>
        <w:instrText xml:space="preserve"> TC"(</w:instrText>
      </w:r>
      <w:bookmarkStart w:id="2" w:name="DocNumber"/>
      <w:r w:rsidRPr="00C72B6F">
        <w:rPr>
          <w:i/>
        </w:rPr>
        <w:instrText>B10-0275/2026</w:instrText>
      </w:r>
      <w:bookmarkEnd w:id="2"/>
      <w:r w:rsidRPr="00C72B6F">
        <w:rPr>
          <w:i/>
        </w:rPr>
        <w:instrText xml:space="preserve">)"\l3 \n&gt; \* MERGEFORMAT </w:instrText>
      </w:r>
      <w:r>
        <w:rPr>
          <w:i/>
        </w:rPr>
        <w:fldChar w:fldCharType="end"/>
      </w:r>
    </w:p>
    <w:p w:rsidR="00544D87" w:rsidRPr="00C72B6F" w:rsidP="00544D87" w14:paraId="0A08C0E6" w14:textId="77777777">
      <w:pPr>
        <w:rPr>
          <w:vanish/>
        </w:rPr>
      </w:pPr>
      <w:bookmarkStart w:id="3" w:name="PE"/>
      <w:r w:rsidRPr="00C72B6F">
        <w:rPr>
          <w:vanish/>
        </w:rPr>
        <w:t>PE783.329</w:t>
      </w:r>
      <w:bookmarkEnd w:id="3"/>
    </w:p>
    <w:p w:rsidR="00544D87" w:rsidRPr="00C72B6F" w:rsidP="0009022D" w14:paraId="124B50CB" w14:textId="77896B1D">
      <w:pPr>
        <w:pStyle w:val="ATHeading3"/>
      </w:pPr>
      <w:bookmarkStart w:id="4" w:name="Sujet"/>
      <w:r w:rsidRPr="00C72B6F">
        <w:t xml:space="preserve">Europaparlamentets resolution av den </w:t>
      </w:r>
      <w:r w:rsidR="00353422">
        <w:t>18</w:t>
      </w:r>
      <w:r w:rsidRPr="00C72B6F" w:rsidR="00353422">
        <w:t xml:space="preserve"> </w:t>
      </w:r>
      <w:r w:rsidR="00353422">
        <w:t>juni</w:t>
      </w:r>
      <w:r w:rsidRPr="00C72B6F" w:rsidR="00353422">
        <w:t xml:space="preserve"> </w:t>
      </w:r>
      <w:r w:rsidRPr="00C72B6F">
        <w:t>2026 om rekrytering av barn av organiserad brottslighet</w:t>
      </w:r>
      <w:bookmarkEnd w:id="4"/>
      <w:r w:rsidRPr="00C72B6F">
        <w:t xml:space="preserve"> </w:t>
      </w:r>
      <w:bookmarkStart w:id="5" w:name="References"/>
      <w:r w:rsidRPr="00C72B6F">
        <w:t>(2026/2725(RSP))</w:t>
      </w:r>
      <w:bookmarkEnd w:id="5"/>
    </w:p>
    <w:p w:rsidR="00CD74CC" w:rsidRPr="00C72B6F" w:rsidP="00CD74CC" w14:paraId="3B9899F3" w14:textId="77777777">
      <w:pPr>
        <w:pStyle w:val="EPComma"/>
      </w:pPr>
      <w:bookmarkStart w:id="6" w:name="TextBodyBegin"/>
      <w:bookmarkEnd w:id="6"/>
      <w:r w:rsidRPr="00C72B6F">
        <w:rPr>
          <w:i/>
        </w:rPr>
        <w:t>Europaparlamentet utfärdar denna resolution</w:t>
      </w:r>
    </w:p>
    <w:p w:rsidR="00CD74CC" w:rsidRPr="00C72B6F" w:rsidP="00CD74CC" w14:paraId="6856C7BB" w14:textId="77777777">
      <w:pPr>
        <w:pStyle w:val="NormalHanging12a"/>
        <w:rPr>
          <w:spacing w:val="-2"/>
        </w:rPr>
      </w:pPr>
      <w:r w:rsidRPr="00C72B6F">
        <w:t>–</w:t>
      </w:r>
      <w:r w:rsidRPr="00C72B6F">
        <w:tab/>
        <w:t>med beaktande av FN:s konvention om barnets rättigheter,</w:t>
      </w:r>
    </w:p>
    <w:p w:rsidR="00CD74CC" w:rsidRPr="00C72B6F" w:rsidP="00CD74CC" w14:paraId="64394392" w14:textId="77777777">
      <w:pPr>
        <w:pStyle w:val="NormalHanging12a"/>
        <w:rPr>
          <w:spacing w:val="-2"/>
        </w:rPr>
      </w:pPr>
      <w:r w:rsidRPr="00C72B6F">
        <w:t>–</w:t>
      </w:r>
      <w:r w:rsidRPr="00C72B6F">
        <w:tab/>
        <w:t>med beaktande av FN:s generalförsamlings resolution 79/188 om förebyggande och bekämpande av våld mot barn från organiserade kriminella grupper och terroristgrupper på området brottsförebyggande och straffrättsliga frågor,</w:t>
      </w:r>
    </w:p>
    <w:p w:rsidR="00CD74CC" w:rsidRPr="00C72B6F" w:rsidP="00CD74CC" w14:paraId="03E234CC" w14:textId="77777777">
      <w:pPr>
        <w:pStyle w:val="NormalHanging12a"/>
        <w:rPr>
          <w:spacing w:val="-2"/>
        </w:rPr>
      </w:pPr>
      <w:r w:rsidRPr="00C72B6F">
        <w:t>–</w:t>
      </w:r>
      <w:r w:rsidRPr="00C72B6F">
        <w:tab/>
        <w:t>med beaktande av Förenta nationernas ekonomiska och sociala råds resolution 2024/12 om behandling av barn som är associerade med terroristgrupper, inbegripet barn som rekryteras och utnyttjas av dessa grupper,</w:t>
      </w:r>
    </w:p>
    <w:p w:rsidR="00CD74CC" w:rsidRPr="00C72B6F" w:rsidP="00CD74CC" w14:paraId="18103A26" w14:textId="77777777">
      <w:pPr>
        <w:pStyle w:val="NormalHanging12a"/>
        <w:rPr>
          <w:spacing w:val="-2"/>
        </w:rPr>
      </w:pPr>
      <w:r w:rsidRPr="00C72B6F">
        <w:t>–</w:t>
      </w:r>
      <w:r w:rsidRPr="00C72B6F">
        <w:tab/>
        <w:t xml:space="preserve">med beaktande av kommissionens meddelande av den 1 april 2025 om </w:t>
      </w:r>
      <w:r w:rsidRPr="00C72B6F">
        <w:t>ProtectEU</w:t>
      </w:r>
      <w:r w:rsidRPr="00C72B6F">
        <w:t xml:space="preserve"> 2025–2030: Europeisk strategi för inre säkerhet (COM(2025)0148),</w:t>
      </w:r>
    </w:p>
    <w:p w:rsidR="00CD74CC" w:rsidRPr="00C72B6F" w:rsidP="00CD74CC" w14:paraId="41937495" w14:textId="77777777">
      <w:pPr>
        <w:pStyle w:val="NormalHanging12a"/>
        <w:rPr>
          <w:spacing w:val="-2"/>
        </w:rPr>
      </w:pPr>
      <w:r w:rsidRPr="00C72B6F">
        <w:t>–</w:t>
      </w:r>
      <w:r w:rsidRPr="00C72B6F">
        <w:tab/>
        <w:t>med beaktande av Europols rapport ”Europeiska unionens hotbildsbedömning avseende den grova och organiserade brottsligheten 2025” (EU-</w:t>
      </w:r>
      <w:r w:rsidRPr="00C72B6F">
        <w:t>Socta</w:t>
      </w:r>
      <w:r w:rsidRPr="00C72B6F">
        <w:t>),</w:t>
      </w:r>
    </w:p>
    <w:p w:rsidR="00CD74CC" w:rsidRPr="00C72B6F" w:rsidP="00CD74CC" w14:paraId="50EC5B7C" w14:textId="77777777">
      <w:pPr>
        <w:pStyle w:val="NormalHanging12a"/>
        <w:rPr>
          <w:spacing w:val="-2"/>
        </w:rPr>
      </w:pPr>
      <w:r w:rsidRPr="00C72B6F">
        <w:t>–</w:t>
      </w:r>
      <w:r w:rsidRPr="00C72B6F">
        <w:tab/>
        <w:t>med beaktande av EU:s kommande handlingsplan för skydd av barn mot brottslighet,</w:t>
      </w:r>
    </w:p>
    <w:p w:rsidR="00CD74CC" w:rsidRPr="00C72B6F" w:rsidP="00CD74CC" w14:paraId="167E7858" w14:textId="77777777">
      <w:pPr>
        <w:pStyle w:val="NormalHanging12a"/>
        <w:rPr>
          <w:spacing w:val="-2"/>
        </w:rPr>
      </w:pPr>
      <w:r w:rsidRPr="00C72B6F">
        <w:t>–</w:t>
      </w:r>
      <w:r w:rsidRPr="00C72B6F">
        <w:tab/>
        <w:t>med beaktande av EU:s och FN:s drog- och brottsbekämpningsbyrås (UNODC) STRIVE Juvenile-projekt och dess utvärderingsresultat,</w:t>
      </w:r>
    </w:p>
    <w:p w:rsidR="00CD74CC" w:rsidRPr="00C72B6F" w:rsidP="00CD74CC" w14:paraId="0CDB88B6" w14:textId="77777777">
      <w:pPr>
        <w:pStyle w:val="NormalHanging12a"/>
      </w:pPr>
      <w:bookmarkStart w:id="7" w:name="_Hlk231207339"/>
      <w:r w:rsidRPr="00C72B6F">
        <w:rPr>
          <w:snapToGrid w:val="0"/>
        </w:rPr>
        <w:t>–</w:t>
      </w:r>
      <w:r w:rsidRPr="00C72B6F">
        <w:rPr>
          <w:snapToGrid w:val="0"/>
        </w:rPr>
        <w:tab/>
      </w:r>
      <w:r w:rsidRPr="00C72B6F">
        <w:t>med beaktande av Europaparlamentets och rådets förordning (EU) 2022/2065 av den 19 oktober 2022 om en inre marknad för digitala tjänster och om ändring av direktiv 2000/31/EG (rättsakten om digitala tjänster)</w:t>
      </w:r>
      <w:r>
        <w:rPr>
          <w:rStyle w:val="FootnoteReference"/>
        </w:rPr>
        <w:footnoteReference w:id="2"/>
      </w:r>
      <w:r w:rsidRPr="00C72B6F">
        <w:t xml:space="preserve">, särskilt dess bestämmelser om skydd av minderåriga på nätet, bedömning och begränsning av systemrisker kopplade till olagligt innehåll och skadligt beteende på nätet, rekommendationssystem och ansvarsområden för mycket stora </w:t>
      </w:r>
      <w:r w:rsidRPr="00C72B6F">
        <w:t>onlineplattformar</w:t>
      </w:r>
      <w:r w:rsidRPr="00C72B6F">
        <w:t xml:space="preserve"> och sökmotorer,</w:t>
      </w:r>
    </w:p>
    <w:p w:rsidR="00CD74CC" w:rsidRPr="00C72B6F" w:rsidP="00CD74CC" w14:paraId="5D185F32" w14:textId="77777777">
      <w:pPr>
        <w:pStyle w:val="NormalHanging12a"/>
      </w:pPr>
      <w:r w:rsidRPr="00C72B6F">
        <w:rPr>
          <w:snapToGrid w:val="0"/>
        </w:rPr>
        <w:t>–</w:t>
      </w:r>
      <w:r w:rsidRPr="00C72B6F">
        <w:rPr>
          <w:snapToGrid w:val="0"/>
        </w:rPr>
        <w:tab/>
      </w:r>
      <w:r w:rsidRPr="00C72B6F">
        <w:t xml:space="preserve">med beaktande av kommissionens riktlinjer enligt rättsakten om digitala tjänster om </w:t>
      </w:r>
      <w:r w:rsidRPr="00C72B6F">
        <w:t>skydd av minderåriga av den 14 juli 2025</w:t>
      </w:r>
      <w:r>
        <w:rPr>
          <w:rStyle w:val="FootnoteReference"/>
        </w:rPr>
        <w:footnoteReference w:id="3"/>
      </w:r>
      <w:r w:rsidRPr="00C72B6F">
        <w:t>,</w:t>
      </w:r>
    </w:p>
    <w:p w:rsidR="00CD74CC" w:rsidRPr="00C72B6F" w:rsidP="00CD74CC" w14:paraId="0B08DA08" w14:textId="77777777">
      <w:pPr>
        <w:pStyle w:val="NormalHanging12a"/>
      </w:pPr>
      <w:r w:rsidRPr="00C72B6F">
        <w:rPr>
          <w:snapToGrid w:val="0"/>
        </w:rPr>
        <w:t>–</w:t>
      </w:r>
      <w:r w:rsidRPr="00C72B6F">
        <w:rPr>
          <w:snapToGrid w:val="0"/>
        </w:rPr>
        <w:tab/>
      </w:r>
      <w:r w:rsidRPr="00C72B6F">
        <w:t>med beaktande av Europols underrättelsemeddelande av den 12 november 2024 ”Rekrytering av unga förövare till kriminella nätverk”,</w:t>
      </w:r>
    </w:p>
    <w:p w:rsidR="00CD74CC" w:rsidRPr="00C72B6F" w:rsidP="00CD74CC" w14:paraId="6DA128B7" w14:textId="77777777">
      <w:pPr>
        <w:pStyle w:val="NormalHanging12a"/>
      </w:pPr>
      <w:r w:rsidRPr="00C72B6F">
        <w:rPr>
          <w:snapToGrid w:val="0"/>
        </w:rPr>
        <w:t>–</w:t>
      </w:r>
      <w:r w:rsidRPr="00C72B6F">
        <w:rPr>
          <w:snapToGrid w:val="0"/>
        </w:rPr>
        <w:tab/>
      </w:r>
      <w:r w:rsidRPr="00C72B6F">
        <w:t xml:space="preserve">med beaktande av arbetsdokumentet från Unicef </w:t>
      </w:r>
      <w:r w:rsidRPr="00C72B6F">
        <w:t>Innocenti</w:t>
      </w:r>
      <w:r w:rsidRPr="00C72B6F">
        <w:t xml:space="preserve"> – Global Office </w:t>
      </w:r>
      <w:r w:rsidRPr="00C72B6F">
        <w:t>of</w:t>
      </w:r>
      <w:r w:rsidRPr="00C72B6F">
        <w:t xml:space="preserve"> Research and </w:t>
      </w:r>
      <w:r w:rsidRPr="00C72B6F">
        <w:t>Foresight</w:t>
      </w:r>
      <w:r w:rsidRPr="00C72B6F">
        <w:t xml:space="preserve"> från september 2024 ”Barns delaktighet i organiserat våld: framväxande trender och kunskapsluckor”,</w:t>
      </w:r>
    </w:p>
    <w:bookmarkEnd w:id="7"/>
    <w:p w:rsidR="00CD74CC" w:rsidRPr="00C72B6F" w:rsidP="00CD74CC" w14:paraId="5AA3DD14" w14:textId="77777777">
      <w:pPr>
        <w:pStyle w:val="NormalHanging12a"/>
        <w:rPr>
          <w:bCs/>
          <w:spacing w:val="-2"/>
        </w:rPr>
      </w:pPr>
      <w:r w:rsidRPr="00C72B6F">
        <w:t>–</w:t>
      </w:r>
      <w:r w:rsidRPr="00C72B6F">
        <w:tab/>
        <w:t>med beaktande av EU:s strategi för barnets rättigheter och EU:s narkotikastrategi,</w:t>
      </w:r>
    </w:p>
    <w:p w:rsidR="00CD74CC" w:rsidRPr="00C72B6F" w:rsidP="00CD74CC" w14:paraId="5B6537FB" w14:textId="77777777">
      <w:pPr>
        <w:pStyle w:val="NormalHanging12a"/>
        <w:rPr>
          <w:bCs/>
          <w:spacing w:val="-2"/>
        </w:rPr>
      </w:pPr>
      <w:r w:rsidRPr="00C72B6F">
        <w:t>–</w:t>
      </w:r>
      <w:r w:rsidRPr="00C72B6F">
        <w:tab/>
        <w:t>med beaktande av utfrågningen i utskottet för medborgerliga fri- och rättigheter samt rättsliga och inrikes frågor av den 4 juni 2025 ”Radikalisering online, med fokus på rekrytering av barn för organiserad brottslighet och terrorism”,</w:t>
      </w:r>
    </w:p>
    <w:p w:rsidR="00CD74CC" w:rsidRPr="00C72B6F" w:rsidP="00CD74CC" w14:paraId="552191B7" w14:textId="77777777">
      <w:pPr>
        <w:pStyle w:val="NormalHanging12a"/>
        <w:rPr>
          <w:bCs/>
          <w:spacing w:val="-2"/>
        </w:rPr>
      </w:pPr>
      <w:r w:rsidRPr="00C72B6F">
        <w:t>–</w:t>
      </w:r>
      <w:r w:rsidRPr="00C72B6F">
        <w:tab/>
        <w:t xml:space="preserve">med beaktande av sin resolution av den 20 januari 2026 om mordet på Mehdi </w:t>
      </w:r>
      <w:r w:rsidRPr="00C72B6F">
        <w:t>Kessaci</w:t>
      </w:r>
      <w:r w:rsidRPr="00C72B6F">
        <w:t>, och det akuta behovet av ambitiösa europeiska åtgärder mot narkotikahandel</w:t>
      </w:r>
      <w:r>
        <w:rPr>
          <w:rStyle w:val="FootnoteReference"/>
        </w:rPr>
        <w:footnoteReference w:id="4"/>
      </w:r>
      <w:r w:rsidRPr="00C72B6F">
        <w:t>,</w:t>
      </w:r>
    </w:p>
    <w:p w:rsidR="00CD74CC" w:rsidRPr="00C72B6F" w:rsidP="00CD74CC" w14:paraId="03E00B27" w14:textId="77777777">
      <w:pPr>
        <w:pStyle w:val="NormalHanging12a"/>
        <w:rPr>
          <w:spacing w:val="-2"/>
        </w:rPr>
      </w:pPr>
      <w:r w:rsidRPr="00C72B6F">
        <w:t>–</w:t>
      </w:r>
      <w:r w:rsidRPr="00C72B6F">
        <w:tab/>
        <w:t>med beaktande av Europaparlamentets och rådets direktiv (EU) 2016/800 av den 11 maj 2016 om rättssäkerhetsgarantier för barn som är misstänkta eller tilltalade i straffrättsliga förfaranden</w:t>
      </w:r>
      <w:r>
        <w:rPr>
          <w:rStyle w:val="FootnoteReference"/>
        </w:rPr>
        <w:footnoteReference w:id="5"/>
      </w:r>
      <w:r w:rsidRPr="00C72B6F">
        <w:t>,</w:t>
      </w:r>
    </w:p>
    <w:p w:rsidR="00CD74CC" w:rsidRPr="00C72B6F" w:rsidP="00CD74CC" w14:paraId="45187956" w14:textId="77777777">
      <w:pPr>
        <w:pStyle w:val="NormalHanging12a"/>
      </w:pPr>
      <w:r w:rsidRPr="00C72B6F">
        <w:t>–</w:t>
      </w:r>
      <w:r w:rsidRPr="00C72B6F">
        <w:tab/>
        <w:t>med beaktande av artikel 136.2 i arbetsordningen, och av följande skäl:</w:t>
      </w:r>
    </w:p>
    <w:p w:rsidR="00CD74CC" w:rsidRPr="00C72B6F" w:rsidP="00CD74CC" w14:paraId="56F3AB7D" w14:textId="77777777">
      <w:pPr>
        <w:pStyle w:val="NormalHanging12a"/>
      </w:pPr>
      <w:r w:rsidRPr="00C72B6F">
        <w:t>A.</w:t>
      </w:r>
      <w:r w:rsidRPr="00C72B6F">
        <w:rPr>
          <w:snapToGrid w:val="0"/>
        </w:rPr>
        <w:tab/>
      </w:r>
      <w:r w:rsidRPr="00C72B6F">
        <w:t>Organiserade kriminella grupper och terroristgrupper rekryterar och utnyttjar i allt högre grad barn som en del av sina operativa strategier, bland annat för att skydda vuxna förövare från upptäckt och lagföring och utöka olaglig verksamhet.</w:t>
      </w:r>
    </w:p>
    <w:p w:rsidR="00CD74CC" w:rsidRPr="00C72B6F" w:rsidP="00CD74CC" w14:paraId="5D06ACAE" w14:textId="77777777">
      <w:pPr>
        <w:pStyle w:val="NormalHanging12a"/>
      </w:pPr>
      <w:r w:rsidRPr="00C72B6F">
        <w:rPr>
          <w:snapToGrid w:val="0"/>
        </w:rPr>
        <w:t>B.</w:t>
      </w:r>
      <w:r w:rsidRPr="00C72B6F">
        <w:rPr>
          <w:snapToGrid w:val="0"/>
        </w:rPr>
        <w:tab/>
      </w:r>
      <w:r w:rsidRPr="00C72B6F">
        <w:t>Europols underrättelsemeddelande från november 2024 visar att underåriga som rekryteras av kriminella nätverk vanligtvis inte har någon direkt kontakt med organisationernas högre led och mobiliseras genom tillhandahållare av kriminella tjänster. Dessa underårigas begränsade kunskap om nätverkens struktur och den ofta förekommande avsaknaden av tidigare kriminalregister gör dem till lågriskoperatörer som är mindre benägna att tillhandahålla användbar information till brottsbekämpande myndigheter om de grips.</w:t>
      </w:r>
    </w:p>
    <w:p w:rsidR="00CD74CC" w:rsidRPr="00C72B6F" w:rsidP="00CD74CC" w14:paraId="641B79FB" w14:textId="77777777">
      <w:pPr>
        <w:pStyle w:val="NormalHanging12a"/>
      </w:pPr>
      <w:r w:rsidRPr="00C72B6F">
        <w:rPr>
          <w:snapToGrid w:val="0"/>
        </w:rPr>
        <w:t>C.</w:t>
      </w:r>
      <w:r w:rsidRPr="00C72B6F">
        <w:rPr>
          <w:snapToGrid w:val="0"/>
        </w:rPr>
        <w:tab/>
      </w:r>
      <w:r w:rsidRPr="00C72B6F">
        <w:t>Rekrytering och utnyttjande av barn av organiserade kriminella grupper och terroristgrupper kränker barns grundläggande rättigheter, inbegripet deras värdighet, med allvarliga konsekvenser för deras säkerhet och framtid. Barns sårbarhet för rekrytering i organiserade kriminella nätverk härrör från flera samverkande riskfaktorer, bland annat avsaknad av en känsla av tillhörighet, ogynnsamma barndomsupplevelser och psykiska hälsoutmaningar, som utnyttjas avsiktligt. Effektivt förebyggande kräver integrerade åtgärder för att ta itu med dessa faktorer.</w:t>
      </w:r>
    </w:p>
    <w:p w:rsidR="00CD74CC" w:rsidRPr="00C72B6F" w:rsidP="00CD74CC" w14:paraId="0D238C2C" w14:textId="77777777">
      <w:pPr>
        <w:pStyle w:val="NormalHanging12a"/>
      </w:pPr>
      <w:r w:rsidRPr="00C72B6F">
        <w:rPr>
          <w:snapToGrid w:val="0"/>
        </w:rPr>
        <w:t>D.</w:t>
      </w:r>
      <w:r w:rsidRPr="00C72B6F">
        <w:rPr>
          <w:snapToGrid w:val="0"/>
        </w:rPr>
        <w:tab/>
      </w:r>
      <w:r w:rsidRPr="00C72B6F">
        <w:t xml:space="preserve">Rekryteringen av barn har utvecklats från en i första hand humanitär fråga till en systematisk möjliggörande faktor för organiserad brottslighet och har integrerats i de operativa modellerna för kriminella nätverk, och utgör ett hinder för fred, säkerhet och utveckling. Kriminella grupper som rekryterar barn undergräver EU:s säkerhet, </w:t>
      </w:r>
      <w:r w:rsidRPr="00C72B6F">
        <w:t>underblåser brottslighet och vidmakthåller våldscykler och otrygghet som sträcker sig över generationer.</w:t>
      </w:r>
    </w:p>
    <w:p w:rsidR="00CD74CC" w:rsidRPr="00C72B6F" w:rsidP="00CD74CC" w14:paraId="27C51C5F" w14:textId="77777777">
      <w:pPr>
        <w:pStyle w:val="NormalHanging12a"/>
      </w:pPr>
      <w:r w:rsidRPr="00C72B6F">
        <w:rPr>
          <w:snapToGrid w:val="0"/>
        </w:rPr>
        <w:t>E.</w:t>
      </w:r>
      <w:r w:rsidRPr="00C72B6F">
        <w:rPr>
          <w:snapToGrid w:val="0"/>
        </w:rPr>
        <w:tab/>
      </w:r>
      <w:r w:rsidRPr="00C72B6F">
        <w:t>Dessa metoder underlättas av viss teknisk utveckling som kan normalisera och ge incitament till brottsligt beteende bland barn.</w:t>
      </w:r>
    </w:p>
    <w:p w:rsidR="00CD74CC" w:rsidRPr="00C72B6F" w:rsidP="00CD74CC" w14:paraId="4FDE3EAE" w14:textId="77777777">
      <w:pPr>
        <w:pStyle w:val="NormalHanging12a"/>
        <w:keepNext/>
        <w:keepLines/>
        <w:widowControl/>
      </w:pPr>
      <w:r w:rsidRPr="00C72B6F">
        <w:rPr>
          <w:snapToGrid w:val="0"/>
        </w:rPr>
        <w:t>F.</w:t>
      </w:r>
      <w:r w:rsidRPr="00C72B6F">
        <w:rPr>
          <w:snapToGrid w:val="0"/>
        </w:rPr>
        <w:tab/>
      </w:r>
      <w:r w:rsidRPr="00C72B6F">
        <w:t>Europols kartläggning från 2024 har identifierat 821 kriminella nätverk med hög risk som är verksamma i EU och genererar uppskattningsvis 92–188 miljarder euro i årliga intäkter, vilket motsvarar cirka 0,7–1,4 % av EU:s BNP</w:t>
      </w:r>
      <w:r>
        <w:rPr>
          <w:rStyle w:val="FootnoteReference"/>
          <w:color w:val="000000"/>
        </w:rPr>
        <w:footnoteReference w:id="6"/>
      </w:r>
      <w:r w:rsidRPr="00C72B6F">
        <w:t>. Underåriga är inblandade i mer än 70 % av den olagliga marknadsverksamheten, däribland narkotikahandel, utpressning, bedrägerier på nätet, penningtvätt, olaglig handel med skjutvapen och våld som en tjänst, där kriminella nätverk utnyttjar barn så unga som 12 år för uppgifter som gatuhandel, penningtransport och att hämta narkotika ur fraktcontainrar.</w:t>
      </w:r>
    </w:p>
    <w:p w:rsidR="00CD74CC" w:rsidRPr="00C72B6F" w:rsidP="00CD74CC" w14:paraId="1C176EB5" w14:textId="77777777">
      <w:pPr>
        <w:pStyle w:val="NormalHanging12a"/>
        <w:rPr>
          <w:bCs/>
        </w:rPr>
      </w:pPr>
      <w:r w:rsidRPr="00C72B6F">
        <w:rPr>
          <w:snapToGrid w:val="0"/>
        </w:rPr>
        <w:t>G.</w:t>
      </w:r>
      <w:r w:rsidRPr="00C72B6F">
        <w:rPr>
          <w:snapToGrid w:val="0"/>
        </w:rPr>
        <w:tab/>
      </w:r>
      <w:r w:rsidRPr="00C72B6F">
        <w:t>Kriminella organisationer riktar systematiskt in sig på barn i mycket utsatta situationer, särskilt de som drabbas av socioekonomisk utestängning, skolavhopp och familjeupplösning, eller barn i migration, genom att utnyttja deras ekonomiska otrygghet, sociala marginalisering och bristande medvetenhet om risker.</w:t>
      </w:r>
    </w:p>
    <w:p w:rsidR="00CD74CC" w:rsidRPr="00C72B6F" w:rsidP="00CD74CC" w14:paraId="49FED2E5" w14:textId="77777777">
      <w:pPr>
        <w:pStyle w:val="NormalHanging12a"/>
        <w:rPr>
          <w:bCs/>
        </w:rPr>
      </w:pPr>
      <w:r w:rsidRPr="00C72B6F">
        <w:rPr>
          <w:snapToGrid w:val="0"/>
        </w:rPr>
        <w:t>H.</w:t>
      </w:r>
      <w:r w:rsidRPr="00C72B6F">
        <w:rPr>
          <w:snapToGrid w:val="0"/>
        </w:rPr>
        <w:tab/>
      </w:r>
      <w:r w:rsidRPr="00C72B6F">
        <w:t>Flickor och unga kvinnor dras i allt högre grad in i organiserad brottslighet, även om de ofta förbises av straffrättsliga system, som 22 % av identifierade offer för människohandel i Väst- och Sydeuropa som tvingas till brottslig verksamhet, främst narkotikahandel.</w:t>
      </w:r>
    </w:p>
    <w:p w:rsidR="00CD74CC" w:rsidRPr="00C72B6F" w:rsidP="00CD74CC" w14:paraId="4FED7D6C" w14:textId="77777777">
      <w:pPr>
        <w:pStyle w:val="NormalHanging12a"/>
      </w:pPr>
      <w:r w:rsidRPr="00C72B6F">
        <w:rPr>
          <w:snapToGrid w:val="0"/>
        </w:rPr>
        <w:t>I.</w:t>
      </w:r>
      <w:r w:rsidRPr="00C72B6F">
        <w:rPr>
          <w:snapToGrid w:val="0"/>
        </w:rPr>
        <w:tab/>
      </w:r>
      <w:r w:rsidRPr="00C72B6F">
        <w:t>Olaglig handel med skjutvapen och olaglig användning av pyroteknik har bidragit till en övergång från lågnivåbrott till allvarligare och våldsamma brott som involverar minderåriga, inbegripet utpressning och mord. Kriminella rekryterare kan erbjuda minderåriga betydande ekonomiska incitament, från några tusen euro till så mycket som 20 000 euro för mord.</w:t>
      </w:r>
    </w:p>
    <w:p w:rsidR="00CD74CC" w:rsidRPr="00C72B6F" w:rsidP="00CD74CC" w14:paraId="64F17717" w14:textId="77777777">
      <w:pPr>
        <w:pStyle w:val="NormalHanging12a"/>
      </w:pPr>
      <w:r w:rsidRPr="00C72B6F">
        <w:rPr>
          <w:snapToGrid w:val="0"/>
        </w:rPr>
        <w:t>J.</w:t>
      </w:r>
      <w:r w:rsidRPr="00C72B6F">
        <w:rPr>
          <w:snapToGrid w:val="0"/>
        </w:rPr>
        <w:tab/>
      </w:r>
      <w:r w:rsidRPr="00C72B6F">
        <w:t xml:space="preserve">Narkotikarelaterade hot och tvång utgör en av de främsta metoderna som organiserade kriminella nätverk använder för att rekrytera och utnyttja barn med skuldsättning, </w:t>
      </w:r>
      <w:r w:rsidRPr="00C72B6F">
        <w:t>gromning</w:t>
      </w:r>
      <w:r w:rsidRPr="00C72B6F">
        <w:t xml:space="preserve"> och våld. Den gränsöverskridande räckvidden för sådana nätverk innebär att dessa fenomen inte kan hanteras på lämpligt sätt enbart genom nationella åtgärder.</w:t>
      </w:r>
    </w:p>
    <w:p w:rsidR="00CD74CC" w:rsidRPr="00C72B6F" w:rsidP="00CD74CC" w14:paraId="1E72ABE9" w14:textId="77777777">
      <w:pPr>
        <w:pStyle w:val="NormalHanging12a"/>
      </w:pPr>
      <w:r w:rsidRPr="00C72B6F">
        <w:rPr>
          <w:snapToGrid w:val="0"/>
        </w:rPr>
        <w:t>K.</w:t>
      </w:r>
      <w:r w:rsidRPr="00C72B6F">
        <w:rPr>
          <w:snapToGrid w:val="0"/>
        </w:rPr>
        <w:tab/>
      </w:r>
      <w:r w:rsidRPr="00C72B6F">
        <w:t>De växande narkotikamarknaderna har drivit minderårigas deltagande till alarmerande nivåer, vilket framgår av en kraftig ökning av användningen av viktiga logistiska knutpunkter, inklusive hamnar. Bristen på harmoniserade effekter av den nuvarande definitionen av organiserad brottslighet i EU:s medlemsstater komplicerar insamlingen av uppgifter och jämförbarheten, och uppgifter om minderåriga inom organiserad brottslighet är knappa, ofta otillförlitliga och knappt jämförbara på grund av varierande åldrar av straffrättsligt ansvar och underrapportering.</w:t>
      </w:r>
    </w:p>
    <w:p w:rsidR="00CD74CC" w:rsidRPr="00C72B6F" w:rsidP="00CD74CC" w14:paraId="3039DB78" w14:textId="77777777">
      <w:pPr>
        <w:pStyle w:val="NormalHanging12a"/>
      </w:pPr>
      <w:r w:rsidRPr="00C72B6F">
        <w:rPr>
          <w:snapToGrid w:val="0"/>
        </w:rPr>
        <w:t>L.</w:t>
      </w:r>
      <w:r w:rsidRPr="00C72B6F">
        <w:rPr>
          <w:snapToGrid w:val="0"/>
        </w:rPr>
        <w:tab/>
      </w:r>
      <w:r w:rsidRPr="00C72B6F">
        <w:t>Underinvestering i offentliga tjänster, inbegripet förebyggande, utbildning och hälso- och sjukvård, är de grundläggande orsakerna till att organiserade kriminella grupper rekryterar barn.</w:t>
      </w:r>
    </w:p>
    <w:p w:rsidR="00CD74CC" w:rsidRPr="00C72B6F" w:rsidP="00CD74CC" w14:paraId="36A54B8F" w14:textId="77777777">
      <w:pPr>
        <w:pStyle w:val="NormalHanging12a"/>
        <w:keepNext/>
        <w:keepLines/>
        <w:widowControl/>
      </w:pPr>
      <w:r w:rsidRPr="00C72B6F">
        <w:rPr>
          <w:snapToGrid w:val="0"/>
        </w:rPr>
        <w:t>M.</w:t>
      </w:r>
      <w:r w:rsidRPr="00C72B6F">
        <w:rPr>
          <w:snapToGrid w:val="0"/>
        </w:rPr>
        <w:tab/>
      </w:r>
      <w:r w:rsidRPr="00C72B6F">
        <w:t xml:space="preserve">Splittrade institutionella insatser och otillräcklig samordning mellan system för skydd av barn, rättsliga myndigheter, säkerhetsmyndigheter och digitala tillsynsmyndigheter skapar klyftor som kriminella grupper utnyttjar. I parlamentets resolution om mordet på Mehdi </w:t>
      </w:r>
      <w:r w:rsidRPr="00C72B6F">
        <w:t>Kessaci</w:t>
      </w:r>
      <w:r w:rsidRPr="00C72B6F">
        <w:t xml:space="preserve"> i Marseille fördömdes de kriminella gängens systematiska rekrytering av ungdomar och efterlystes bättre förebyggande, skydd och åtal, inbegripet specialiserat stöd till minderåriga för att undkomma exploatering och återintegreras i samhället.</w:t>
      </w:r>
    </w:p>
    <w:p w:rsidR="00CD74CC" w:rsidRPr="00C72B6F" w:rsidP="00CD74CC" w14:paraId="7E5072EE" w14:textId="77777777">
      <w:pPr>
        <w:pStyle w:val="NormalHanging12a"/>
      </w:pPr>
      <w:r w:rsidRPr="00C72B6F">
        <w:rPr>
          <w:snapToGrid w:val="0"/>
        </w:rPr>
        <w:t>N.</w:t>
      </w:r>
      <w:r w:rsidRPr="00C72B6F">
        <w:rPr>
          <w:snapToGrid w:val="0"/>
        </w:rPr>
        <w:tab/>
      </w:r>
      <w:r w:rsidRPr="00C72B6F">
        <w:t>Europol inrättade en operativ arbetsgrupp med namnet GRIMM i april 2025 för att samordna arbetet med teknikföretag för att identifiera insatser för att rekrytera barn via sociala medier och meddelandeplattformar, som leds av Sverige och sammanför poliser från Belgien, Danmark, Finland, Frankrike, Tyskland, Nederländerna och Norge.</w:t>
      </w:r>
    </w:p>
    <w:p w:rsidR="00CD74CC" w:rsidRPr="00C72B6F" w:rsidP="00CD74CC" w14:paraId="6F560753" w14:textId="77777777">
      <w:pPr>
        <w:pStyle w:val="NormalHanging12a"/>
      </w:pPr>
      <w:r w:rsidRPr="00C72B6F">
        <w:rPr>
          <w:snapToGrid w:val="0"/>
        </w:rPr>
        <w:t>O.</w:t>
      </w:r>
      <w:r w:rsidRPr="00C72B6F">
        <w:rPr>
          <w:snapToGrid w:val="0"/>
        </w:rPr>
        <w:tab/>
      </w:r>
      <w:r w:rsidRPr="00C72B6F">
        <w:t xml:space="preserve">Evidensbaserade strategier, </w:t>
      </w:r>
      <w:r w:rsidRPr="00C72B6F">
        <w:t>t.ex.</w:t>
      </w:r>
      <w:r w:rsidRPr="00C72B6F">
        <w:t xml:space="preserve"> de som utvecklats inom ramen för projektet EU–UNODC STRIVE Juvenile, visar på effektiviteten hos förebyggande, sektorsövergripande, traumamedvetna, jämställdhetsanpassade och barncentrerade insatser.</w:t>
      </w:r>
    </w:p>
    <w:p w:rsidR="00CD74CC" w:rsidRPr="00C72B6F" w:rsidP="00CD74CC" w14:paraId="5263E686" w14:textId="77777777">
      <w:pPr>
        <w:pStyle w:val="NormalHanging12a"/>
      </w:pPr>
      <w:r w:rsidRPr="00C72B6F">
        <w:t>1.</w:t>
      </w:r>
      <w:r w:rsidRPr="00C72B6F">
        <w:tab/>
        <w:t xml:space="preserve">Europaparlamentet fördömer kraftfullt att organiserade kriminella grupper och terroristgrupper i alla former, både online och </w:t>
      </w:r>
      <w:r w:rsidRPr="00C72B6F">
        <w:t>offline</w:t>
      </w:r>
      <w:r w:rsidRPr="00C72B6F">
        <w:t>, rekryterar och utnyttjar barn.</w:t>
      </w:r>
    </w:p>
    <w:p w:rsidR="00CD74CC" w:rsidRPr="00C72B6F" w:rsidP="00CD74CC" w14:paraId="5D8F87C2" w14:textId="77777777">
      <w:pPr>
        <w:pStyle w:val="NormalHanging12a"/>
        <w:rPr>
          <w:spacing w:val="-2"/>
        </w:rPr>
      </w:pPr>
      <w:r w:rsidRPr="00C72B6F">
        <w:t>2.</w:t>
      </w:r>
      <w:r w:rsidRPr="00C72B6F">
        <w:tab/>
        <w:t xml:space="preserve">Europaparlamentet konstaterar att rekrytering av barn utgör ett allvarligt brott mot barn och en allvarlig kränkning av de mänskliga rättigheterna. Parlamentet betonar att utgör ett växande hot mot EU:s inre och yttre säkerhet som kräver ett omfattande svar som fokuserar på skydd, tidigt förebyggande, tillgång till rättigheter och utbildningskontinuitet, integrering av inre säkerhet, rättvisa, sociala system och utbildningssystem samt strategier och åtgärder som syftar till att stärka skyddsmiljön för barn, både </w:t>
      </w:r>
      <w:r w:rsidRPr="00C72B6F">
        <w:t>offline</w:t>
      </w:r>
      <w:r w:rsidRPr="00C72B6F">
        <w:t xml:space="preserve"> och online.</w:t>
      </w:r>
    </w:p>
    <w:p w:rsidR="00CD74CC" w:rsidRPr="00C72B6F" w:rsidP="00CD74CC" w14:paraId="6657F896" w14:textId="77777777">
      <w:pPr>
        <w:pStyle w:val="NormalHanging12a"/>
        <w:rPr>
          <w:spacing w:val="-2"/>
        </w:rPr>
      </w:pPr>
      <w:r w:rsidRPr="00C72B6F">
        <w:t>3.</w:t>
      </w:r>
      <w:r w:rsidRPr="00C72B6F">
        <w:tab/>
        <w:t>Europaparlamentet påminner om att ett barn först och främst är ett barn och bör behandlas därefter, och uppmanar medlemsstaterna att se till att barnets bästa alltid beaktas i första hand.</w:t>
      </w:r>
    </w:p>
    <w:p w:rsidR="00CD74CC" w:rsidRPr="00C72B6F" w:rsidP="00CD74CC" w14:paraId="57E88DE6" w14:textId="77777777">
      <w:pPr>
        <w:pStyle w:val="NormalHanging12a"/>
      </w:pPr>
      <w:r w:rsidRPr="00C72B6F">
        <w:t>4.</w:t>
      </w:r>
      <w:r w:rsidRPr="00C72B6F">
        <w:tab/>
        <w:t>Europaparlamentet uppmanar kommissionen och medlemsstaterna att uttryckligen erkänna förebyggande av och åtgärder mot rekrytering av barn av organiserade kriminella grupper och terroristgrupper som ett prioriterat område i EU:s kommande handlingsplan för skydd av barn mot brottslighet. Parlamentet efterlyser att denna handlingsplan omfattar en särskild förebyggande pelare med mekanismer för tidig varning som inbegriper skolor, sociala tjänster och familjer, och en ungdomsinriktad strategi som är inriktad på att utveckla livsfärdigheter genom ett direkt samhällsengagemang.</w:t>
      </w:r>
    </w:p>
    <w:p w:rsidR="00CD74CC" w:rsidRPr="00C72B6F" w:rsidP="00CD74CC" w14:paraId="0F98909E" w14:textId="77777777">
      <w:pPr>
        <w:pStyle w:val="NormalHanging12a"/>
        <w:rPr>
          <w:spacing w:val="-2"/>
        </w:rPr>
      </w:pPr>
      <w:r w:rsidRPr="00C72B6F">
        <w:t>5.</w:t>
      </w:r>
      <w:r w:rsidRPr="00C72B6F">
        <w:tab/>
        <w:t>Europaparlamentet uppmanar kommissionen att ta itu med rekryteringen av barn av organiserade kriminella grupper även i det kommande lagstiftningsförslaget om moderniserade regler om organiserad brottslighet. Parlamentet uppmanar kommissionen att överväga att i detta förslag inkludera särskilda bestämmelser, såsom försvårande omständigheter för rekrytering av barn. Parlamentet upprepar i detta avseende sin uppmaning till en ny gemensam definition av ”kriminell organisation”, som också tar hänsyn till kriminella gruppers användning av våld, korruption eller hotelser.</w:t>
      </w:r>
    </w:p>
    <w:p w:rsidR="00CD74CC" w:rsidRPr="00C72B6F" w:rsidP="00CD74CC" w14:paraId="6AF0ABA0" w14:textId="77777777">
      <w:pPr>
        <w:pStyle w:val="NormalHanging12a"/>
        <w:keepNext/>
        <w:keepLines/>
        <w:widowControl/>
        <w:rPr>
          <w:spacing w:val="-2"/>
        </w:rPr>
      </w:pPr>
      <w:r w:rsidRPr="00C72B6F">
        <w:t>6.</w:t>
      </w:r>
      <w:r w:rsidRPr="00C72B6F">
        <w:tab/>
        <w:t>Europaparlamentet uppmanar kommissionen att så snart som möjligt offentliggöra ett lagstiftningsförslag om översyn av EU:s direktiv om pyroteknik</w:t>
      </w:r>
      <w:r>
        <w:rPr>
          <w:rStyle w:val="FootnoteReference"/>
        </w:rPr>
        <w:footnoteReference w:id="7"/>
      </w:r>
      <w:r w:rsidRPr="00C72B6F">
        <w:t xml:space="preserve"> för att ta itu med användningen av pyroteknik som vapen, inbegripet exploatering av utsatta ungdomar. Parlamentet uppmuntrar medlemsstaterna att intensifiera samarbetet med Europol och Eurojust, särskilt i hamnar, logistikcentrum och stadsområden med utsatta befolkningsgrupper, genom att utbyta bästa praxis och tillhandahålla utbildning för att identifiera och rapportera misstänkta aktiviteter som involverar barn.</w:t>
      </w:r>
    </w:p>
    <w:p w:rsidR="00CD74CC" w:rsidRPr="00C72B6F" w:rsidP="00CD74CC" w14:paraId="2DF51C1A" w14:textId="77777777">
      <w:pPr>
        <w:pStyle w:val="NormalHanging12a"/>
        <w:rPr>
          <w:spacing w:val="-2"/>
        </w:rPr>
      </w:pPr>
      <w:r w:rsidRPr="00C72B6F">
        <w:t>7.</w:t>
      </w:r>
      <w:r w:rsidRPr="00C72B6F">
        <w:tab/>
        <w:t>Europaparlamentet uppmanar kommissionen och medlemsstaterna att erkänna narkotikarelaterade hot som en etablerad rekryteringsväg till organiserad brottslighet. Parlamentet uppmanar medlemsstaterna att se till att nationella strategier för barnrekrytering uttryckligen inbegriper myndighetsöverskridande insatser mot narkotikarelaterade hot, med hjälp av framväxande modeller för bästa praxis.</w:t>
      </w:r>
    </w:p>
    <w:p w:rsidR="00CD74CC" w:rsidRPr="00C72B6F" w:rsidP="00CD74CC" w14:paraId="2F43D867" w14:textId="77777777">
      <w:pPr>
        <w:pStyle w:val="NormalHanging12a"/>
        <w:rPr>
          <w:bCs/>
          <w:spacing w:val="-2"/>
        </w:rPr>
      </w:pPr>
      <w:r w:rsidRPr="00C72B6F">
        <w:t>8.</w:t>
      </w:r>
      <w:r w:rsidRPr="00C72B6F">
        <w:tab/>
        <w:t xml:space="preserve">Europaparlamentet uppmanar med kraft till en förebyggande strategi och integrerade skyddssystem som är barncentrerade, genusanpassade, traumainformerade och </w:t>
      </w:r>
      <w:r w:rsidRPr="00C72B6F">
        <w:t>sektorsöverskridande</w:t>
      </w:r>
      <w:r w:rsidRPr="00C72B6F">
        <w:t>, med fokus på tidig identifiering av barn i riskzonen, samhällsbaserade insatser och förstärkning av familjer och sociala tjänster. Parlamentet betonar idrottens, utbildningsföreningarnas och samhällsorganisationernas positiva roll när det gäller att erbjuda säkra, hälsosamma och inkluderande miljöer.</w:t>
      </w:r>
    </w:p>
    <w:p w:rsidR="00CD74CC" w:rsidRPr="00C72B6F" w:rsidP="00CD74CC" w14:paraId="58D1C1C8" w14:textId="77777777">
      <w:pPr>
        <w:pStyle w:val="NormalHanging12a"/>
      </w:pPr>
      <w:r w:rsidRPr="00C72B6F">
        <w:t>9.</w:t>
      </w:r>
      <w:r w:rsidRPr="00C72B6F">
        <w:tab/>
        <w:t xml:space="preserve">Europaparlamentet anser att den organiserade brottslighetens gränsöverskridande karaktär gör rent nationella åtgärder för skydd av offer otillräckliga för barn och ungdomar. Parlamentet efterlyser ökat samarbete mellan sektorerna för säkerhet, rättsväsende, barnskydd, utbildning och hälsa samt partnerskap mellan den offentliga och den privata sektorn för att säkerställa integrerade och sektorsövergripande skyddsmiljöramar för barn, både </w:t>
      </w:r>
      <w:r w:rsidRPr="00C72B6F">
        <w:t>offline</w:t>
      </w:r>
      <w:r w:rsidRPr="00C72B6F">
        <w:t xml:space="preserve"> och online.</w:t>
      </w:r>
    </w:p>
    <w:p w:rsidR="00CD74CC" w:rsidRPr="00C72B6F" w:rsidP="00CD74CC" w14:paraId="0203F1BF" w14:textId="77777777">
      <w:pPr>
        <w:pStyle w:val="NormalHanging12a"/>
        <w:rPr>
          <w:spacing w:val="-2"/>
        </w:rPr>
      </w:pPr>
      <w:r w:rsidRPr="00C72B6F">
        <w:t>10.</w:t>
      </w:r>
      <w:r w:rsidRPr="00C72B6F">
        <w:tab/>
        <w:t xml:space="preserve">Europaparlamentet betonar att </w:t>
      </w:r>
      <w:r w:rsidRPr="00C72B6F">
        <w:t>onlinedimensionen</w:t>
      </w:r>
      <w:r w:rsidRPr="00C72B6F">
        <w:t xml:space="preserve"> av rekrytering av barn nu är central för de operativa modellerna för organiserade kriminella grupper och terroristgrupper, som systematiskt utnyttjar digitala tjänster för att identifiera, rikta in sig på, </w:t>
      </w:r>
      <w:r w:rsidRPr="00C72B6F">
        <w:t>groma</w:t>
      </w:r>
      <w:r w:rsidRPr="00C72B6F">
        <w:t xml:space="preserve">, manipulera och tvinga barn. Parlamentet betonar att </w:t>
      </w:r>
      <w:r w:rsidRPr="00C72B6F">
        <w:t>onlinerekrytering</w:t>
      </w:r>
      <w:r w:rsidRPr="00C72B6F">
        <w:t xml:space="preserve"> av barn genom organiserade kriminella nätverk skapar en betydande brist på efterlevnad på grund av begränsat samarbete mellan plattformar. Parlamentet uppmanar kommissionen och medlemsstaterna att se till att de nuvarande skyldigheterna för plattformar efterlevs.</w:t>
      </w:r>
    </w:p>
    <w:p w:rsidR="00CD74CC" w:rsidRPr="00C72B6F" w:rsidP="00CD74CC" w14:paraId="6C5DE8ED" w14:textId="77777777">
      <w:pPr>
        <w:pStyle w:val="NormalHanging12a"/>
      </w:pPr>
      <w:r w:rsidRPr="00C72B6F">
        <w:rPr>
          <w:snapToGrid w:val="0"/>
        </w:rPr>
        <w:t>11.</w:t>
      </w:r>
      <w:r w:rsidRPr="00C72B6F">
        <w:rPr>
          <w:snapToGrid w:val="0"/>
        </w:rPr>
        <w:tab/>
      </w:r>
      <w:r w:rsidRPr="00C72B6F">
        <w:t>Europaparlamentet uppmanar kommissionen och medlemsstaterna att säkerställa en robust, konsekvent och barnrättslig efterlevnad av rättsakten om digitala tjänster, i linje med kommissionens riktlinjer om skydd av underåriga.</w:t>
      </w:r>
    </w:p>
    <w:p w:rsidR="00CD74CC" w:rsidRPr="00C72B6F" w:rsidP="0009022D" w14:paraId="69BDC34F" w14:textId="77777777">
      <w:pPr>
        <w:pStyle w:val="NormalHanging12a"/>
      </w:pPr>
      <w:bookmarkStart w:id="8" w:name="_Hlk231893097"/>
      <w:r w:rsidRPr="00C72B6F">
        <w:rPr>
          <w:snapToGrid w:val="0"/>
        </w:rPr>
        <w:t>12.</w:t>
      </w:r>
      <w:r w:rsidRPr="00C72B6F">
        <w:rPr>
          <w:snapToGrid w:val="0"/>
        </w:rPr>
        <w:tab/>
      </w:r>
      <w:r w:rsidRPr="00C72B6F">
        <w:t xml:space="preserve">Europaparlamentet uppmanar kommissionen att säkerställa ett fullständigt genomförande av EU:s digitala lagstiftning och att vid behov stärka plattformarnas skyldigheter att vidta åtgärder mot exploatering och rekrytering av barn, samt att stärka skyddet av underåriga på nätet genom den kommande rättsakten om den digitala rättvisan, täppa till luckor i lagstiftningen på områden såsom inbyggt skydd, åldersanpassade standardinställningar och riktade affärsmetoder riktade till barn, </w:t>
      </w:r>
      <w:r w:rsidRPr="00C72B6F">
        <w:t>samtidigt som man säkerställer att nya åtgärder förblir proportionerliga, evidensbaserade och förenliga med det bredare digitala regelverket.</w:t>
      </w:r>
      <w:bookmarkEnd w:id="8"/>
    </w:p>
    <w:p w:rsidR="00CD74CC" w:rsidRPr="00C72B6F" w:rsidP="00CD74CC" w14:paraId="2FFA9E2B" w14:textId="77777777">
      <w:pPr>
        <w:pStyle w:val="NormalHanging12a"/>
      </w:pPr>
      <w:r w:rsidRPr="00C72B6F">
        <w:rPr>
          <w:snapToGrid w:val="0"/>
        </w:rPr>
        <w:t>13.</w:t>
      </w:r>
      <w:r w:rsidRPr="00C72B6F">
        <w:rPr>
          <w:snapToGrid w:val="0"/>
        </w:rPr>
        <w:tab/>
      </w:r>
      <w:r w:rsidRPr="00C72B6F">
        <w:t>Europaparlamentet betonar det växande hotet från brott som en tjänst, inbegripet våld som en tjänst, genom vilken ungdomar rekryteras på nätet för att utföra våldsuppdrag. Parlamentet välkomnar Europols operativa arbetsgrupp GRIMM och uppmanar medlemsstaterna, Europol och Eurojust att stärka gemensamma utredningar som riktar sig till rekryterare, anstiftare och aktörer på hög nivå, i stället för att begränsa verkställighetsåtgärder till minderåriga som utför brotten.</w:t>
      </w:r>
    </w:p>
    <w:p w:rsidR="00CD74CC" w:rsidP="00CD74CC" w14:paraId="3C92A3C0" w14:textId="710EC84F">
      <w:pPr>
        <w:pStyle w:val="NormalHanging12a"/>
      </w:pPr>
      <w:r w:rsidRPr="00C72B6F">
        <w:rPr>
          <w:snapToGrid w:val="0"/>
        </w:rPr>
        <w:t>14.</w:t>
      </w:r>
      <w:r w:rsidRPr="00C72B6F">
        <w:rPr>
          <w:snapToGrid w:val="0"/>
        </w:rPr>
        <w:tab/>
      </w:r>
      <w:r w:rsidRPr="00C72B6F">
        <w:t xml:space="preserve">Europaparlamentet betonar att barn som är inblandade i brottslig verksamhet till följd av rekrytering </w:t>
      </w:r>
      <w:r w:rsidRPr="00A4229F">
        <w:t xml:space="preserve">måste </w:t>
      </w:r>
      <w:r w:rsidRPr="00C72B6F">
        <w:t>behandlas i linje med internationella normer. Parlamentet påminner om att engagemanget i våldsamma grupper ofta drivs av gradvis tvång och gruppdynamik snarare än ideologisk efterlevnad.</w:t>
      </w:r>
    </w:p>
    <w:p w:rsidR="00650D5E" w:rsidRPr="00C72B6F" w:rsidP="00CD74CC" w14:paraId="0A9FB787" w14:textId="58735295">
      <w:pPr>
        <w:pStyle w:val="NormalHanging12a"/>
      </w:pPr>
      <w:r>
        <w:t>15</w:t>
      </w:r>
      <w:r w:rsidRPr="00650D5E">
        <w:t>.</w:t>
      </w:r>
      <w:r w:rsidRPr="00650D5E">
        <w:tab/>
        <w:t>Europaparlamentet betonar att vederbörlig hänsyn alltid måste tas till de enskilda omständigheterna i varje enskilt fall, inbegripet tvång eller utnyttjande, samt till hur allvarligt det begångna brottet är, den risk som gärningsmannen utgör för den allmänna säkerheten och tillämplig EU-lagstiftning och nationell lagstiftning.</w:t>
      </w:r>
    </w:p>
    <w:p w:rsidR="00CD74CC" w:rsidRPr="00C72B6F" w:rsidP="00CD74CC" w14:paraId="60A0C534" w14:textId="5F277A54">
      <w:pPr>
        <w:pStyle w:val="NormalHanging12a"/>
      </w:pPr>
      <w:r w:rsidRPr="00C72B6F">
        <w:rPr>
          <w:snapToGrid w:val="0"/>
        </w:rPr>
        <w:t>1</w:t>
      </w:r>
      <w:r w:rsidR="00A4229F">
        <w:rPr>
          <w:snapToGrid w:val="0"/>
        </w:rPr>
        <w:t>6</w:t>
      </w:r>
      <w:r w:rsidRPr="00C72B6F">
        <w:rPr>
          <w:snapToGrid w:val="0"/>
        </w:rPr>
        <w:t>.</w:t>
      </w:r>
      <w:r w:rsidRPr="00C72B6F">
        <w:rPr>
          <w:snapToGrid w:val="0"/>
        </w:rPr>
        <w:tab/>
      </w:r>
      <w:r w:rsidRPr="00C72B6F">
        <w:t xml:space="preserve">Europaparlamentet efterlyser barnvänliga, könsanpassade och traumabaserade rättssystem och skräddarsydda sektorsövergripande, traumabaserade återanpassningsprogram, inbegripet tillgång till utbildning, psykisk hälsa och psykosocialt stöd samt tjänster för återhämtning och rehabilitering, skydd mot repressalier, även för familjer, vägar till anständiga anställningar och åtgärder för att förhindra stigmatisering och upprepad rekrytering. Parlamentet påminner om att enligt direktiv (EU) 2016/800 bör frihetsberövande av ett barn, särskilt fysiskt frihetsberövande, endast tillämpas som en sista utväg, och om möjligt bör medlemsstaternas behöriga myndigheter ha möjlighet att tillämpa alternativa åtgärder. Parlamentet noterar att </w:t>
      </w:r>
      <w:r w:rsidRPr="00C72B6F">
        <w:t>reparativ</w:t>
      </w:r>
      <w:r w:rsidRPr="00C72B6F">
        <w:t xml:space="preserve"> rättvisa i vissa medlemsstater har visat sig vara effektiv.</w:t>
      </w:r>
    </w:p>
    <w:p w:rsidR="00CD74CC" w:rsidRPr="00C72B6F" w:rsidP="00CD74CC" w14:paraId="12BA4E89" w14:textId="088CDDA2">
      <w:pPr>
        <w:pStyle w:val="NormalHanging12a"/>
      </w:pPr>
      <w:r w:rsidRPr="00C72B6F">
        <w:rPr>
          <w:snapToGrid w:val="0"/>
        </w:rPr>
        <w:t>1</w:t>
      </w:r>
      <w:r w:rsidR="00A4229F">
        <w:rPr>
          <w:snapToGrid w:val="0"/>
        </w:rPr>
        <w:t>7</w:t>
      </w:r>
      <w:r w:rsidRPr="00C72B6F">
        <w:rPr>
          <w:snapToGrid w:val="0"/>
        </w:rPr>
        <w:t>.</w:t>
      </w:r>
      <w:r w:rsidRPr="00C72B6F">
        <w:rPr>
          <w:snapToGrid w:val="0"/>
        </w:rPr>
        <w:tab/>
      </w:r>
      <w:r w:rsidRPr="00C72B6F">
        <w:t>Europaparlamentet uppmanar med kraft medlemsstaterna att förbättra interoperabel, sektorsövergripande datainsamling och utbyte av uppgifter om rekrytering av barn till organiserade kriminella grupper och terroristgrupper, inbegripet uppdelade och harmoniserade EU-omfattande data, för att bättre förstå trender och riskfaktorer. Parlamentet betonar att all insamling, behandling eller delning av uppgifter om barn måste vara helt förenlig med dataskyddsreglerna och principen om icke-diskriminering.</w:t>
      </w:r>
    </w:p>
    <w:p w:rsidR="00CD74CC" w:rsidRPr="00C72B6F" w:rsidP="00CD74CC" w14:paraId="10638DCD" w14:textId="1F1F3FA8">
      <w:pPr>
        <w:pStyle w:val="NormalHanging12a"/>
      </w:pPr>
      <w:r w:rsidRPr="00C72B6F">
        <w:rPr>
          <w:snapToGrid w:val="0"/>
        </w:rPr>
        <w:t>1</w:t>
      </w:r>
      <w:r w:rsidR="00A4229F">
        <w:rPr>
          <w:snapToGrid w:val="0"/>
        </w:rPr>
        <w:t>8</w:t>
      </w:r>
      <w:r w:rsidRPr="00C72B6F">
        <w:rPr>
          <w:snapToGrid w:val="0"/>
        </w:rPr>
        <w:t>.</w:t>
      </w:r>
      <w:r w:rsidRPr="00C72B6F">
        <w:rPr>
          <w:snapToGrid w:val="0"/>
        </w:rPr>
        <w:tab/>
      </w:r>
      <w:r w:rsidRPr="00C72B6F">
        <w:t xml:space="preserve">Europaparlamentet stöder en upptrappning av framgångsrika evidensbaserade initiativ såsom EU:s och </w:t>
      </w:r>
      <w:r w:rsidRPr="00C72B6F">
        <w:t>UNODC:s</w:t>
      </w:r>
      <w:r w:rsidRPr="00C72B6F">
        <w:t xml:space="preserve"> STRIVE Juvenile-projekt och dess strategiska efterträdare, EU:s och </w:t>
      </w:r>
      <w:r w:rsidRPr="00C72B6F">
        <w:t>UNODC:s</w:t>
      </w:r>
      <w:r w:rsidRPr="00C72B6F">
        <w:t xml:space="preserve"> EU-UNODC </w:t>
      </w:r>
      <w:r w:rsidRPr="00C72B6F">
        <w:t>Protecting</w:t>
      </w:r>
      <w:r w:rsidRPr="00C72B6F">
        <w:t xml:space="preserve"> </w:t>
      </w:r>
      <w:r w:rsidRPr="00C72B6F">
        <w:t>Futures</w:t>
      </w:r>
      <w:r w:rsidRPr="00C72B6F">
        <w:t>-initiativ, inbegripet i instabila och konfliktdrabbade sammanhang.</w:t>
      </w:r>
    </w:p>
    <w:p w:rsidR="00CD74CC" w:rsidRPr="00C72B6F" w:rsidP="00CD74CC" w14:paraId="5643B582" w14:textId="0CD9E587">
      <w:pPr>
        <w:pStyle w:val="NormalHanging12a"/>
      </w:pPr>
      <w:r w:rsidRPr="00C72B6F">
        <w:rPr>
          <w:snapToGrid w:val="0"/>
        </w:rPr>
        <w:t>1</w:t>
      </w:r>
      <w:r w:rsidR="00A4229F">
        <w:rPr>
          <w:snapToGrid w:val="0"/>
        </w:rPr>
        <w:t>9</w:t>
      </w:r>
      <w:r w:rsidRPr="00C72B6F">
        <w:rPr>
          <w:snapToGrid w:val="0"/>
        </w:rPr>
        <w:t>.</w:t>
      </w:r>
      <w:r w:rsidRPr="00C72B6F">
        <w:rPr>
          <w:snapToGrid w:val="0"/>
        </w:rPr>
        <w:tab/>
      </w:r>
      <w:r w:rsidRPr="00C72B6F">
        <w:t xml:space="preserve">Europaparlamentet efterlyser ett starkare internationellt samarbete med partnerländer för att ta itu med gränsöverskridande rekryteringsnätverk och förhindra att kriminellt utnyttjande </w:t>
      </w:r>
      <w:r w:rsidRPr="00C72B6F">
        <w:t>externaliseras</w:t>
      </w:r>
      <w:r w:rsidRPr="00C72B6F">
        <w:t>.</w:t>
      </w:r>
    </w:p>
    <w:p w:rsidR="00CD74CC" w:rsidRPr="00C72B6F" w:rsidP="00CD74CC" w14:paraId="7E97135D" w14:textId="1E472930">
      <w:pPr>
        <w:pStyle w:val="NormalHanging12a"/>
      </w:pPr>
      <w:r>
        <w:rPr>
          <w:snapToGrid w:val="0"/>
        </w:rPr>
        <w:t>20</w:t>
      </w:r>
      <w:r w:rsidRPr="00C72B6F">
        <w:rPr>
          <w:snapToGrid w:val="0"/>
        </w:rPr>
        <w:t>.</w:t>
      </w:r>
      <w:r w:rsidRPr="00C72B6F">
        <w:rPr>
          <w:snapToGrid w:val="0"/>
        </w:rPr>
        <w:tab/>
      </w:r>
      <w:r w:rsidRPr="00C72B6F">
        <w:t xml:space="preserve">Europaparlamentet betonar att barn som en del av ett sådant samarbete måste ägnas särskild uppmärksamhet i situationer med ökad sårbarhet, inbegripet ensamkommande och migrerande barn, och tillgång till säkra rapporteringskanaler, förmyndarskap, </w:t>
      </w:r>
      <w:r w:rsidRPr="00C72B6F">
        <w:t>rättsligt bistånd och rättighetsbaserade gränsöverskridande mekanismer för skydd av barn.</w:t>
      </w:r>
    </w:p>
    <w:p w:rsidR="00CD74CC" w:rsidRPr="00C72B6F" w:rsidP="00CD74CC" w14:paraId="04CEE082" w14:textId="2B03D24F">
      <w:pPr>
        <w:pStyle w:val="NormalHanging12a"/>
      </w:pPr>
      <w:r w:rsidRPr="00C72B6F">
        <w:rPr>
          <w:snapToGrid w:val="0"/>
        </w:rPr>
        <w:t>2</w:t>
      </w:r>
      <w:r w:rsidR="00A4229F">
        <w:rPr>
          <w:snapToGrid w:val="0"/>
        </w:rPr>
        <w:t>1</w:t>
      </w:r>
      <w:r w:rsidRPr="00C72B6F">
        <w:rPr>
          <w:snapToGrid w:val="0"/>
        </w:rPr>
        <w:t>.</w:t>
      </w:r>
      <w:r w:rsidRPr="00C72B6F">
        <w:rPr>
          <w:snapToGrid w:val="0"/>
        </w:rPr>
        <w:tab/>
      </w:r>
      <w:r w:rsidRPr="00C72B6F">
        <w:t>Europaparlamentet betonar vikten av att ta itu med de bakomliggande orsakerna, däribland fattigdom, ojämlikhet, utestängning, brist på utbildning och utsatthet för våld och underinvestering i offentliga tjänster. Parlamentet uppmanar kommissionen och medlemsstaterna att öka det ekonomiska stödet till det civila samhällets organisationer, samhällsbaserade initiativ, idrottsföreningar och utbildningsprogram på de områden som är mest utsatta för rekrytering av organiserad brottslighet och att erbjuda trovärdiga alternativ till kriminella vägar.</w:t>
      </w:r>
    </w:p>
    <w:p w:rsidR="00CD74CC" w:rsidRPr="00C72B6F" w:rsidP="00CD74CC" w14:paraId="0F878950" w14:textId="4CA7D932">
      <w:pPr>
        <w:pStyle w:val="NormalHanging12a"/>
      </w:pPr>
      <w:r w:rsidRPr="00C72B6F">
        <w:rPr>
          <w:snapToGrid w:val="0"/>
        </w:rPr>
        <w:t>2</w:t>
      </w:r>
      <w:r w:rsidR="00A4229F">
        <w:rPr>
          <w:snapToGrid w:val="0"/>
        </w:rPr>
        <w:t>2</w:t>
      </w:r>
      <w:r w:rsidRPr="00C72B6F">
        <w:rPr>
          <w:snapToGrid w:val="0"/>
        </w:rPr>
        <w:t>.</w:t>
      </w:r>
      <w:r w:rsidRPr="00C72B6F">
        <w:rPr>
          <w:snapToGrid w:val="0"/>
        </w:rPr>
        <w:tab/>
      </w:r>
      <w:r w:rsidRPr="00C72B6F">
        <w:t xml:space="preserve">Europaparlamentet är särskilt oroat över att organiserade kriminella nätverk riktar sig mot och utnyttjar flickor och unga kvinnor på ett oproportionerligt sätt, bland annat genom </w:t>
      </w:r>
      <w:r w:rsidRPr="00C72B6F">
        <w:t>gromning</w:t>
      </w:r>
      <w:r w:rsidRPr="00C72B6F">
        <w:t>, människohandel och sexuellt utnyttjande. Parlamentet betonar att flickor står inför särskilda hinder för att undkomma brottsligt tvång och för att få tillgång till rättvisa, återhämtning och återintegrering, och uppmanar medlemsstaterna att se till att alla förebyggande åtgärder, skydds- och stödåtgärder är genusanpassade och särskilt tar itu med flickors sårbarhet och behov. Parlamentet påminner i detta avseende om de skyldigheter som fastställs i direktivet mot människohandel</w:t>
      </w:r>
      <w:r>
        <w:rPr>
          <w:rStyle w:val="FootnoteReference"/>
        </w:rPr>
        <w:footnoteReference w:id="8"/>
      </w:r>
      <w:r w:rsidRPr="00C72B6F">
        <w:t>.</w:t>
      </w:r>
    </w:p>
    <w:p w:rsidR="00CD74CC" w:rsidRPr="00C72B6F" w:rsidP="00CD74CC" w14:paraId="5DAB6A5F" w14:textId="5E442B5A">
      <w:pPr>
        <w:pStyle w:val="NormalHanging12a"/>
      </w:pPr>
      <w:r w:rsidRPr="00C72B6F">
        <w:rPr>
          <w:snapToGrid w:val="0"/>
        </w:rPr>
        <w:t>2</w:t>
      </w:r>
      <w:r w:rsidR="00A4229F">
        <w:rPr>
          <w:snapToGrid w:val="0"/>
        </w:rPr>
        <w:t>3</w:t>
      </w:r>
      <w:r w:rsidRPr="00C72B6F">
        <w:rPr>
          <w:snapToGrid w:val="0"/>
        </w:rPr>
        <w:t>.</w:t>
      </w:r>
      <w:r w:rsidRPr="00C72B6F">
        <w:rPr>
          <w:snapToGrid w:val="0"/>
        </w:rPr>
        <w:tab/>
      </w:r>
      <w:r w:rsidRPr="00C72B6F">
        <w:t>Europaparlamentet uppmanar kommissionen och medlemsstaterna att anslå tillräcklig finansiering inom ramen för relevanta EU-program för att förebygga och effektivt reagera på rekrytering av barn av organiserade kriminella grupper och terroristgrupper, och i synnerhet för att stödja nätverket för journumret 116 000 för försvunna barn som viktig partner för flera organ när det gäller att identifiera barn i riskzonen.</w:t>
      </w:r>
    </w:p>
    <w:p w:rsidR="00C72B6F" w:rsidRPr="00C72B6F" w:rsidP="00C72B6F" w14:paraId="141CB414" w14:textId="784013E1">
      <w:pPr>
        <w:pStyle w:val="NormalHanging12a"/>
      </w:pPr>
      <w:r w:rsidRPr="00C72B6F">
        <w:rPr>
          <w:snapToGrid w:val="0"/>
        </w:rPr>
        <w:t>2</w:t>
      </w:r>
      <w:r w:rsidR="00A4229F">
        <w:rPr>
          <w:snapToGrid w:val="0"/>
        </w:rPr>
        <w:t>4</w:t>
      </w:r>
      <w:r w:rsidRPr="00C72B6F">
        <w:rPr>
          <w:snapToGrid w:val="0"/>
        </w:rPr>
        <w:t>.</w:t>
      </w:r>
      <w:r w:rsidRPr="00C72B6F">
        <w:rPr>
          <w:snapToGrid w:val="0"/>
        </w:rPr>
        <w:tab/>
      </w:r>
      <w:r w:rsidRPr="00C72B6F">
        <w:t>Europaparlamentet uppdrar åt talmannen att översända denna resolution till rådet, kommissionen, medlemsstaternas regeringar och parlament, Europol samt FN:s drog- och brottsbekämpningsbyrå.</w:t>
      </w:r>
    </w:p>
    <w:p w:rsidR="00E365E1" w:rsidRPr="00C72B6F" w:rsidP="00544D87" w14:paraId="0A69825E" w14:textId="171B20FA"/>
    <w:sectPr w:rsidSect="00C72B6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2B6F" w14:paraId="3CE3312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2B6F" w14:paraId="2AFB09B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2B6F" w14:paraId="436CD20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4D87" w:rsidRPr="00C72B6F" w14:paraId="0C09511E" w14:textId="77777777">
      <w:r w:rsidRPr="00C72B6F">
        <w:separator/>
      </w:r>
    </w:p>
  </w:footnote>
  <w:footnote w:type="continuationSeparator" w:id="1">
    <w:p w:rsidR="00544D87" w:rsidRPr="00C72B6F" w14:paraId="3F06CD04" w14:textId="77777777">
      <w:r w:rsidRPr="00C72B6F">
        <w:continuationSeparator/>
      </w:r>
    </w:p>
  </w:footnote>
  <w:footnote w:id="2">
    <w:p w:rsidR="00CD74CC" w:rsidRPr="0009022D" w:rsidP="00C72B6F" w14:paraId="203C7062" w14:textId="3B830396">
      <w:pPr>
        <w:pStyle w:val="FootnoteText"/>
        <w:ind w:left="567" w:hanging="567"/>
        <w:rPr>
          <w:sz w:val="24"/>
          <w:lang w:val="fi-FI"/>
        </w:rPr>
      </w:pPr>
      <w:r w:rsidRPr="00C72B6F">
        <w:rPr>
          <w:rStyle w:val="FootnoteReference"/>
          <w:sz w:val="24"/>
          <w:lang w:val="sv-SE"/>
        </w:rPr>
        <w:footnoteRef/>
      </w:r>
      <w:r w:rsidRPr="0009022D" w:rsidR="00C72B6F">
        <w:rPr>
          <w:sz w:val="24"/>
          <w:lang w:val="fi-FI"/>
        </w:rPr>
        <w:t xml:space="preserve"> </w:t>
      </w:r>
      <w:r w:rsidRPr="0009022D" w:rsidR="00C72B6F">
        <w:rPr>
          <w:sz w:val="24"/>
          <w:lang w:val="fi-FI"/>
        </w:rPr>
        <w:tab/>
      </w:r>
      <w:r w:rsidRPr="0009022D">
        <w:rPr>
          <w:sz w:val="24"/>
          <w:lang w:val="fi-FI"/>
        </w:rPr>
        <w:t xml:space="preserve">EUT L 277, 27.10.2022, s. 1, ELI: </w:t>
      </w:r>
      <w:hyperlink r:id="rId1" w:history="1">
        <w:r w:rsidRPr="0009022D">
          <w:rPr>
            <w:rStyle w:val="Hyperlink"/>
            <w:sz w:val="24"/>
            <w:lang w:val="fi-FI"/>
          </w:rPr>
          <w:t>http://data.europa.eu/eli/reg/2022/2065/oj</w:t>
        </w:r>
      </w:hyperlink>
      <w:r w:rsidRPr="0009022D">
        <w:rPr>
          <w:sz w:val="24"/>
          <w:lang w:val="fi-FI"/>
        </w:rPr>
        <w:t>.</w:t>
      </w:r>
    </w:p>
  </w:footnote>
  <w:footnote w:id="3">
    <w:p w:rsidR="00CD74CC" w:rsidRPr="0009022D" w:rsidP="00C72B6F" w14:paraId="49B02CB4" w14:textId="68C6C693">
      <w:pPr>
        <w:pStyle w:val="FootnoteText"/>
        <w:ind w:left="567" w:hanging="567"/>
        <w:rPr>
          <w:sz w:val="24"/>
          <w:lang w:val="fi-FI"/>
        </w:rPr>
      </w:pPr>
      <w:r w:rsidRPr="00C72B6F">
        <w:rPr>
          <w:rStyle w:val="FootnoteReference"/>
          <w:sz w:val="24"/>
          <w:szCs w:val="16"/>
          <w:lang w:val="sv-SE"/>
        </w:rPr>
        <w:footnoteRef/>
      </w:r>
      <w:r w:rsidRPr="0009022D" w:rsidR="00C72B6F">
        <w:rPr>
          <w:sz w:val="24"/>
          <w:lang w:val="fi-FI"/>
        </w:rPr>
        <w:t xml:space="preserve"> </w:t>
      </w:r>
      <w:r w:rsidRPr="0009022D" w:rsidR="00C72B6F">
        <w:rPr>
          <w:sz w:val="24"/>
          <w:lang w:val="fi-FI"/>
        </w:rPr>
        <w:tab/>
      </w:r>
      <w:r w:rsidRPr="0009022D" w:rsidR="00353422">
        <w:rPr>
          <w:sz w:val="24"/>
          <w:lang w:val="fi-FI"/>
        </w:rPr>
        <w:t xml:space="preserve">EUT </w:t>
      </w:r>
      <w:r w:rsidRPr="0009022D">
        <w:rPr>
          <w:sz w:val="24"/>
          <w:lang w:val="fi-FI"/>
        </w:rPr>
        <w:t xml:space="preserve">C, C/2025/5519, 10.10.2025, ELI: </w:t>
      </w:r>
      <w:hyperlink r:id="rId2" w:history="1">
        <w:r w:rsidRPr="0009022D">
          <w:rPr>
            <w:rStyle w:val="Hyperlink"/>
            <w:sz w:val="24"/>
            <w:lang w:val="fi-FI"/>
          </w:rPr>
          <w:t>http://data.europa.eu/eli/C/2025/5519/oj</w:t>
        </w:r>
      </w:hyperlink>
      <w:r w:rsidRPr="0009022D">
        <w:rPr>
          <w:sz w:val="24"/>
          <w:lang w:val="fi-FI"/>
        </w:rPr>
        <w:t xml:space="preserve">. </w:t>
      </w:r>
    </w:p>
  </w:footnote>
  <w:footnote w:id="4">
    <w:p w:rsidR="00CD74CC" w:rsidRPr="00C72B6F" w:rsidP="00C72B6F" w14:paraId="06AFCBB6" w14:textId="66BFF55C">
      <w:pPr>
        <w:pStyle w:val="FootnoteText"/>
        <w:ind w:left="567" w:hanging="567"/>
        <w:rPr>
          <w:sz w:val="24"/>
          <w:lang w:val="sv-SE"/>
        </w:rPr>
      </w:pPr>
      <w:r w:rsidRPr="00C72B6F">
        <w:rPr>
          <w:rStyle w:val="FootnoteReference"/>
          <w:sz w:val="24"/>
          <w:lang w:val="sv-SE"/>
        </w:rPr>
        <w:footnoteRef/>
      </w:r>
      <w:r w:rsidRPr="00C72B6F" w:rsidR="00C72B6F">
        <w:rPr>
          <w:sz w:val="24"/>
          <w:lang w:val="sv-SE"/>
        </w:rPr>
        <w:t xml:space="preserve"> </w:t>
      </w:r>
      <w:r w:rsidRPr="00C72B6F" w:rsidR="00C72B6F">
        <w:rPr>
          <w:sz w:val="24"/>
          <w:lang w:val="sv-SE"/>
        </w:rPr>
        <w:tab/>
      </w:r>
      <w:r w:rsidRPr="00C72B6F">
        <w:rPr>
          <w:sz w:val="24"/>
          <w:lang w:val="sv-SE"/>
        </w:rPr>
        <w:t>Antagna texter, P10_TA(2026)0007.</w:t>
      </w:r>
    </w:p>
  </w:footnote>
  <w:footnote w:id="5">
    <w:p w:rsidR="00CD74CC" w:rsidRPr="003B32EA" w:rsidP="00C72B6F" w14:paraId="2126C230" w14:textId="1AAAAC31">
      <w:pPr>
        <w:pStyle w:val="FootnoteText"/>
        <w:ind w:left="567" w:hanging="567"/>
        <w:rPr>
          <w:sz w:val="24"/>
          <w:lang w:val="sv-SE"/>
        </w:rPr>
      </w:pPr>
      <w:r w:rsidRPr="00C72B6F">
        <w:rPr>
          <w:rStyle w:val="FootnoteReference"/>
          <w:sz w:val="24"/>
          <w:lang w:val="sv-SE"/>
        </w:rPr>
        <w:footnoteRef/>
      </w:r>
      <w:r w:rsidRPr="003B32EA" w:rsidR="00C72B6F">
        <w:rPr>
          <w:sz w:val="24"/>
          <w:lang w:val="sv-SE"/>
        </w:rPr>
        <w:t xml:space="preserve"> </w:t>
      </w:r>
      <w:r w:rsidRPr="003B32EA" w:rsidR="00C72B6F">
        <w:rPr>
          <w:sz w:val="24"/>
          <w:lang w:val="sv-SE"/>
        </w:rPr>
        <w:tab/>
      </w:r>
      <w:r w:rsidRPr="003B32EA">
        <w:rPr>
          <w:sz w:val="24"/>
          <w:lang w:val="sv-SE"/>
        </w:rPr>
        <w:t xml:space="preserve">EUT L 132, 21.5.2016, s. 1, ELI: </w:t>
      </w:r>
      <w:hyperlink r:id="rId3" w:history="1">
        <w:r w:rsidRPr="003B32EA">
          <w:rPr>
            <w:rStyle w:val="Hyperlink"/>
            <w:sz w:val="24"/>
            <w:lang w:val="sv-SE"/>
          </w:rPr>
          <w:t>http://data.europa.eu/eli/dir/2016/800/oj</w:t>
        </w:r>
      </w:hyperlink>
      <w:r w:rsidRPr="003B32EA">
        <w:rPr>
          <w:sz w:val="24"/>
          <w:lang w:val="sv-SE"/>
        </w:rPr>
        <w:t>.</w:t>
      </w:r>
    </w:p>
  </w:footnote>
  <w:footnote w:id="6">
    <w:p w:rsidR="00CD74CC" w:rsidRPr="00C72B6F" w:rsidP="00C72B6F" w14:paraId="66F46056" w14:textId="315770F2">
      <w:pPr>
        <w:pStyle w:val="FootnoteText"/>
        <w:ind w:left="567" w:hanging="567"/>
        <w:rPr>
          <w:sz w:val="24"/>
          <w:lang w:val="sv-SE"/>
        </w:rPr>
      </w:pPr>
      <w:r w:rsidRPr="00C72B6F">
        <w:rPr>
          <w:rStyle w:val="FootnoteReference"/>
          <w:sz w:val="24"/>
          <w:lang w:val="sv-SE"/>
        </w:rPr>
        <w:footnoteRef/>
      </w:r>
      <w:r w:rsidRPr="00C72B6F" w:rsidR="00C72B6F">
        <w:rPr>
          <w:sz w:val="24"/>
          <w:lang w:val="sv-SE"/>
        </w:rPr>
        <w:t xml:space="preserve"> </w:t>
      </w:r>
      <w:r w:rsidRPr="00C72B6F" w:rsidR="00C72B6F">
        <w:rPr>
          <w:sz w:val="24"/>
          <w:lang w:val="sv-SE"/>
        </w:rPr>
        <w:tab/>
      </w:r>
      <w:r w:rsidRPr="00C72B6F">
        <w:rPr>
          <w:sz w:val="24"/>
          <w:lang w:val="sv-SE"/>
        </w:rPr>
        <w:t>Europols rapport av den 4 april 2024, ”</w:t>
      </w:r>
      <w:hyperlink r:id="rId4" w:tgtFrame="_blank" w:history="1">
        <w:r w:rsidRPr="00C72B6F">
          <w:rPr>
            <w:rStyle w:val="Hyperlink"/>
            <w:sz w:val="24"/>
            <w:lang w:val="sv-SE"/>
          </w:rPr>
          <w:t>Karakterisering av de mest hotfulla kriminella nätverken</w:t>
        </w:r>
      </w:hyperlink>
      <w:r w:rsidRPr="00C72B6F">
        <w:rPr>
          <w:sz w:val="24"/>
          <w:lang w:val="sv-SE"/>
        </w:rPr>
        <w:t>’, uppdaterad i maj 2026.</w:t>
      </w:r>
    </w:p>
  </w:footnote>
  <w:footnote w:id="7">
    <w:p w:rsidR="00CD74CC" w:rsidRPr="00C72B6F" w:rsidP="00C72B6F" w14:paraId="4820A639" w14:textId="2235F052">
      <w:pPr>
        <w:pStyle w:val="FootnoteText"/>
        <w:ind w:left="567" w:hanging="567"/>
        <w:rPr>
          <w:sz w:val="24"/>
          <w:lang w:val="sv-SE"/>
        </w:rPr>
      </w:pPr>
      <w:r w:rsidRPr="00C72B6F">
        <w:rPr>
          <w:rStyle w:val="FootnoteReference"/>
          <w:sz w:val="24"/>
          <w:lang w:val="sv-SE"/>
        </w:rPr>
        <w:footnoteRef/>
      </w:r>
      <w:r w:rsidRPr="00C72B6F" w:rsidR="00C72B6F">
        <w:rPr>
          <w:sz w:val="24"/>
          <w:lang w:val="sv-SE"/>
        </w:rPr>
        <w:t xml:space="preserve"> </w:t>
      </w:r>
      <w:r w:rsidRPr="00C72B6F" w:rsidR="00C72B6F">
        <w:rPr>
          <w:sz w:val="24"/>
          <w:lang w:val="sv-SE"/>
        </w:rPr>
        <w:tab/>
      </w:r>
      <w:r w:rsidRPr="00C72B6F">
        <w:rPr>
          <w:sz w:val="24"/>
          <w:lang w:val="sv-SE"/>
        </w:rPr>
        <w:t xml:space="preserve">Europaparlamentets och rådets direktiv 2013/29/EU av den 12 juni 2013 om harmonisering av medlemsstaternas lagstiftning om tillhandahållande på marknaden av pyrotekniska artiklar (EUT L 178, 28.6.2013, s. 27, ELI: </w:t>
      </w:r>
      <w:hyperlink r:id="rId5" w:history="1">
        <w:r w:rsidRPr="00C72B6F">
          <w:rPr>
            <w:rStyle w:val="Hyperlink"/>
            <w:sz w:val="24"/>
            <w:lang w:val="sv-SE"/>
          </w:rPr>
          <w:t>http://data.europa.eu/eli/dir/2013/29/oj</w:t>
        </w:r>
      </w:hyperlink>
      <w:r w:rsidRPr="00C72B6F">
        <w:rPr>
          <w:sz w:val="24"/>
          <w:lang w:val="sv-SE"/>
        </w:rPr>
        <w:t>).</w:t>
      </w:r>
    </w:p>
  </w:footnote>
  <w:footnote w:id="8">
    <w:p w:rsidR="00CD74CC" w:rsidRPr="00C72B6F" w:rsidP="00C72B6F" w14:paraId="2795B086" w14:textId="6ACEC982">
      <w:pPr>
        <w:pStyle w:val="FootnoteText"/>
        <w:ind w:left="567" w:hanging="567"/>
        <w:rPr>
          <w:sz w:val="24"/>
          <w:lang w:val="sv-SE"/>
        </w:rPr>
      </w:pPr>
      <w:r w:rsidRPr="00C72B6F">
        <w:rPr>
          <w:rStyle w:val="FootnoteReference"/>
          <w:sz w:val="24"/>
          <w:lang w:val="sv-SE"/>
        </w:rPr>
        <w:footnoteRef/>
      </w:r>
      <w:r w:rsidRPr="00C72B6F" w:rsidR="00C72B6F">
        <w:rPr>
          <w:sz w:val="24"/>
          <w:lang w:val="sv-SE"/>
        </w:rPr>
        <w:t xml:space="preserve"> </w:t>
      </w:r>
      <w:r w:rsidRPr="00C72B6F" w:rsidR="00C72B6F">
        <w:rPr>
          <w:sz w:val="24"/>
          <w:lang w:val="sv-SE"/>
        </w:rPr>
        <w:tab/>
      </w:r>
      <w:r w:rsidRPr="00C72B6F">
        <w:rPr>
          <w:sz w:val="24"/>
          <w:lang w:val="sv-SE"/>
        </w:rPr>
        <w:t xml:space="preserve">Europaparlamentets och rådets direktiv (EU) 2024/1712 av den 13 juni 2024 om ändring av direktiv 2011/36/EU om förebyggande och bekämpande av människohandel och om skydd av dess offer (EUT L, 2024/1712, 24.6.2024, ELI: </w:t>
      </w:r>
      <w:hyperlink r:id="rId6" w:history="1">
        <w:r w:rsidRPr="00C72B6F">
          <w:rPr>
            <w:rStyle w:val="Hyperlink"/>
            <w:sz w:val="24"/>
            <w:lang w:val="sv-SE"/>
          </w:rPr>
          <w:t>http://data.europa.eu/eli/dir/2024/1712/oj</w:t>
        </w:r>
      </w:hyperlink>
      <w:r w:rsidRPr="00C72B6F">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2B6F" w14:paraId="1A5FBB7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2B6F" w14:paraId="7F9DD5E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2B6F" w14:paraId="41673D3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5274765">
    <w:abstractNumId w:val="9"/>
  </w:num>
  <w:num w:numId="2" w16cid:durableId="1393967131">
    <w:abstractNumId w:val="9"/>
  </w:num>
  <w:num w:numId="3" w16cid:durableId="1629123531">
    <w:abstractNumId w:val="7"/>
  </w:num>
  <w:num w:numId="4" w16cid:durableId="689187882">
    <w:abstractNumId w:val="7"/>
  </w:num>
  <w:num w:numId="5" w16cid:durableId="1528565923">
    <w:abstractNumId w:val="6"/>
  </w:num>
  <w:num w:numId="6" w16cid:durableId="314996259">
    <w:abstractNumId w:val="6"/>
  </w:num>
  <w:num w:numId="7" w16cid:durableId="1264073760">
    <w:abstractNumId w:val="5"/>
  </w:num>
  <w:num w:numId="8" w16cid:durableId="141194474">
    <w:abstractNumId w:val="5"/>
  </w:num>
  <w:num w:numId="9" w16cid:durableId="514225572">
    <w:abstractNumId w:val="4"/>
  </w:num>
  <w:num w:numId="10" w16cid:durableId="353390165">
    <w:abstractNumId w:val="4"/>
  </w:num>
  <w:num w:numId="11" w16cid:durableId="1761757780">
    <w:abstractNumId w:val="8"/>
  </w:num>
  <w:num w:numId="12" w16cid:durableId="1335498136">
    <w:abstractNumId w:val="8"/>
  </w:num>
  <w:num w:numId="13" w16cid:durableId="745685769">
    <w:abstractNumId w:val="3"/>
  </w:num>
  <w:num w:numId="14" w16cid:durableId="1091438219">
    <w:abstractNumId w:val="3"/>
  </w:num>
  <w:num w:numId="15" w16cid:durableId="1806390061">
    <w:abstractNumId w:val="2"/>
  </w:num>
  <w:num w:numId="16" w16cid:durableId="236597824">
    <w:abstractNumId w:val="2"/>
  </w:num>
  <w:num w:numId="17" w16cid:durableId="1359544882">
    <w:abstractNumId w:val="1"/>
  </w:num>
  <w:num w:numId="18" w16cid:durableId="1454398669">
    <w:abstractNumId w:val="1"/>
  </w:num>
  <w:num w:numId="19" w16cid:durableId="1773207607">
    <w:abstractNumId w:val="0"/>
  </w:num>
  <w:num w:numId="20" w16cid:durableId="513885665">
    <w:abstractNumId w:val="0"/>
  </w:num>
  <w:num w:numId="21" w16cid:durableId="1406881007">
    <w:abstractNumId w:val="9"/>
  </w:num>
  <w:num w:numId="22" w16cid:durableId="230583110">
    <w:abstractNumId w:val="7"/>
  </w:num>
  <w:num w:numId="23" w16cid:durableId="904687214">
    <w:abstractNumId w:val="6"/>
  </w:num>
  <w:num w:numId="24" w16cid:durableId="1751805975">
    <w:abstractNumId w:val="5"/>
  </w:num>
  <w:num w:numId="25" w16cid:durableId="1908109832">
    <w:abstractNumId w:val="4"/>
  </w:num>
  <w:num w:numId="26" w16cid:durableId="1066997554">
    <w:abstractNumId w:val="8"/>
  </w:num>
  <w:num w:numId="27" w16cid:durableId="537477548">
    <w:abstractNumId w:val="3"/>
  </w:num>
  <w:num w:numId="28" w16cid:durableId="1242721026">
    <w:abstractNumId w:val="2"/>
  </w:num>
  <w:num w:numId="29" w16cid:durableId="2147164440">
    <w:abstractNumId w:val="1"/>
  </w:num>
  <w:num w:numId="30" w16cid:durableId="892740141">
    <w:abstractNumId w:val="0"/>
  </w:num>
  <w:num w:numId="31" w16cid:durableId="1117486726">
    <w:abstractNumId w:val="9"/>
  </w:num>
  <w:num w:numId="32" w16cid:durableId="660307084">
    <w:abstractNumId w:val="7"/>
  </w:num>
  <w:num w:numId="33" w16cid:durableId="2111508653">
    <w:abstractNumId w:val="6"/>
  </w:num>
  <w:num w:numId="34" w16cid:durableId="549342222">
    <w:abstractNumId w:val="5"/>
  </w:num>
  <w:num w:numId="35" w16cid:durableId="366640189">
    <w:abstractNumId w:val="4"/>
  </w:num>
  <w:num w:numId="36" w16cid:durableId="696348977">
    <w:abstractNumId w:val="8"/>
  </w:num>
  <w:num w:numId="37" w16cid:durableId="442575753">
    <w:abstractNumId w:val="3"/>
  </w:num>
  <w:num w:numId="38" w16cid:durableId="426777539">
    <w:abstractNumId w:val="2"/>
  </w:num>
  <w:num w:numId="39" w16cid:durableId="634526513">
    <w:abstractNumId w:val="1"/>
  </w:num>
  <w:num w:numId="40" w16cid:durableId="983849797">
    <w:abstractNumId w:val="0"/>
  </w:num>
  <w:num w:numId="41" w16cid:durableId="1815683665">
    <w:abstractNumId w:val="10"/>
  </w:num>
  <w:num w:numId="42" w16cid:durableId="1453476883">
    <w:abstractNumId w:val="10"/>
  </w:num>
  <w:num w:numId="43" w16cid:durableId="154499266">
    <w:abstractNumId w:val="10"/>
  </w:num>
  <w:num w:numId="44" w16cid:durableId="742217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D87"/>
    <w:rsid w:val="00002272"/>
    <w:rsid w:val="000628A7"/>
    <w:rsid w:val="00064002"/>
    <w:rsid w:val="000677B9"/>
    <w:rsid w:val="000831BA"/>
    <w:rsid w:val="0009022D"/>
    <w:rsid w:val="000A42CC"/>
    <w:rsid w:val="000E7DD9"/>
    <w:rsid w:val="0010095E"/>
    <w:rsid w:val="00125B37"/>
    <w:rsid w:val="00187494"/>
    <w:rsid w:val="001F32AE"/>
    <w:rsid w:val="002767FF"/>
    <w:rsid w:val="002817DD"/>
    <w:rsid w:val="002B18FE"/>
    <w:rsid w:val="002B5493"/>
    <w:rsid w:val="00343214"/>
    <w:rsid w:val="00353422"/>
    <w:rsid w:val="00361C00"/>
    <w:rsid w:val="00395FA1"/>
    <w:rsid w:val="003B32EA"/>
    <w:rsid w:val="003E15D4"/>
    <w:rsid w:val="00411CCE"/>
    <w:rsid w:val="0041666E"/>
    <w:rsid w:val="00421060"/>
    <w:rsid w:val="00471C19"/>
    <w:rsid w:val="004867E3"/>
    <w:rsid w:val="00494A28"/>
    <w:rsid w:val="004C0004"/>
    <w:rsid w:val="004C5D52"/>
    <w:rsid w:val="0050519A"/>
    <w:rsid w:val="005072A1"/>
    <w:rsid w:val="00514517"/>
    <w:rsid w:val="00544D87"/>
    <w:rsid w:val="00545827"/>
    <w:rsid w:val="00560270"/>
    <w:rsid w:val="005C2568"/>
    <w:rsid w:val="005F1B17"/>
    <w:rsid w:val="006037C0"/>
    <w:rsid w:val="00650D5E"/>
    <w:rsid w:val="006631B6"/>
    <w:rsid w:val="00680577"/>
    <w:rsid w:val="00682FA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229F"/>
    <w:rsid w:val="00A43E52"/>
    <w:rsid w:val="00A4678D"/>
    <w:rsid w:val="00A778C7"/>
    <w:rsid w:val="00AB441E"/>
    <w:rsid w:val="00AB6293"/>
    <w:rsid w:val="00AE0928"/>
    <w:rsid w:val="00AF3B82"/>
    <w:rsid w:val="00B12E95"/>
    <w:rsid w:val="00B22876"/>
    <w:rsid w:val="00B558F0"/>
    <w:rsid w:val="00BB62FF"/>
    <w:rsid w:val="00BD48FE"/>
    <w:rsid w:val="00BD7BD8"/>
    <w:rsid w:val="00BE6ADC"/>
    <w:rsid w:val="00C05BFE"/>
    <w:rsid w:val="00C23CD4"/>
    <w:rsid w:val="00C61C0C"/>
    <w:rsid w:val="00C72B6F"/>
    <w:rsid w:val="00C941CB"/>
    <w:rsid w:val="00CC2357"/>
    <w:rsid w:val="00CD74C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75/2026"/>
    <w:docVar w:name="dvlangue" w:val="SV"/>
    <w:docVar w:name="dvnumam" w:val="0"/>
    <w:docVar w:name="dvpe" w:val="783.329"/>
    <w:docVar w:name="dvtitre" w:val="Europaparlamentets resolution av den xx xx 2026 om rekrytering av barn av organiserad brottslighet(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D27512E"/>
  <w15:chartTrackingRefBased/>
  <w15:docId w15:val="{993E4F2E-1BC3-45AF-B0DA-974F5ABDD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74CC"/>
    <w:pPr>
      <w:spacing w:before="480" w:after="240"/>
    </w:pPr>
  </w:style>
  <w:style w:type="paragraph" w:customStyle="1" w:styleId="NormalHanging12a">
    <w:name w:val="NormalHanging12a"/>
    <w:basedOn w:val="Normal"/>
    <w:link w:val="NormalHanging12aChar"/>
    <w:rsid w:val="00CD74CC"/>
    <w:pPr>
      <w:spacing w:after="240"/>
      <w:ind w:left="567" w:hanging="567"/>
    </w:pPr>
  </w:style>
  <w:style w:type="character" w:styleId="Hyperlink">
    <w:name w:val="Hyperlink"/>
    <w:basedOn w:val="DefaultParagraphFont"/>
    <w:unhideWhenUsed/>
    <w:rsid w:val="00CD74CC"/>
    <w:rPr>
      <w:color w:val="0563C1" w:themeColor="hyperlink"/>
      <w:u w:val="single"/>
    </w:rPr>
  </w:style>
  <w:style w:type="character" w:customStyle="1" w:styleId="NormalHanging12aChar">
    <w:name w:val="NormalHanging12a Char"/>
    <w:basedOn w:val="DefaultParagraphFont"/>
    <w:link w:val="NormalHanging12a"/>
    <w:rsid w:val="00CD74CC"/>
    <w:rPr>
      <w:sz w:val="24"/>
      <w:lang w:val="sv-SE"/>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CD74CC"/>
    <w:pPr>
      <w:widowControl/>
      <w:spacing w:after="160" w:line="240" w:lineRule="exact"/>
    </w:pPr>
    <w:rPr>
      <w:sz w:val="20"/>
      <w:vertAlign w:val="superscript"/>
      <w:lang w:val="en-GB"/>
    </w:rPr>
  </w:style>
  <w:style w:type="paragraph" w:styleId="Revision">
    <w:name w:val="Revision"/>
    <w:hidden/>
    <w:uiPriority w:val="99"/>
    <w:semiHidden/>
    <w:rsid w:val="00353422"/>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2458</Words>
  <Characters>16690</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2026-06-18T13:14:00Z</dcterms:created>
  <dcterms:modified xsi:type="dcterms:W3CDTF">2026-06-18T13:14:00Z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B10-0275/2026</vt:lpwstr>
  </property>
  <property fmtid="{D5CDD505-2E9C-101B-9397-08002B2CF9AE}" pid="4" name="&lt;Type&gt;">
    <vt:lpwstr>RR</vt:lpwstr>
  </property>
</Properties>
</file>