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1631C8" w14:textId="77777777" w:rsidTr="0010095E">
        <w:tblPrEx>
          <w:tblW w:w="9072" w:type="dxa"/>
          <w:tblLook w:val="01E0"/>
        </w:tblPrEx>
        <w:trPr>
          <w:trHeight w:hRule="exact" w:val="1418"/>
        </w:trPr>
        <w:tc>
          <w:tcPr>
            <w:tcW w:w="6804" w:type="dxa"/>
            <w:shd w:val="clear" w:color="auto" w:fill="auto"/>
            <w:vAlign w:val="center"/>
          </w:tcPr>
          <w:p w:rsidR="00751A4A" w:rsidRPr="00A308DC" w:rsidP="0010095E" w14:paraId="6614A392" w14:textId="44E721CF">
            <w:pPr>
              <w:pStyle w:val="EPName"/>
            </w:pPr>
            <w:r w:rsidRPr="00A308DC">
              <w:t>Европейски</w:t>
            </w:r>
            <w:r w:rsidRPr="00A308DC" w:rsidR="00C22C36">
              <w:t xml:space="preserve"> парламент</w:t>
            </w:r>
          </w:p>
          <w:p w:rsidR="00751A4A" w:rsidRPr="00A308DC" w:rsidP="005F1B17" w14:paraId="40D3F314" w14:textId="77A0FADA">
            <w:pPr>
              <w:pStyle w:val="EPTerm"/>
              <w:rPr>
                <w:rStyle w:val="HideTWBExt"/>
                <w:noProof w:val="0"/>
                <w:vanish w:val="0"/>
                <w:color w:val="auto"/>
              </w:rPr>
            </w:pPr>
            <w:r w:rsidRPr="00A308DC">
              <w:t>2024</w:t>
            </w:r>
            <w:r w:rsidR="00A83AEB">
              <w:rPr>
                <w:lang w:val="en-GB"/>
              </w:rPr>
              <w:t> – </w:t>
            </w:r>
            <w:r w:rsidRPr="00A308DC" w:rsidR="00817416">
              <w:t>202</w:t>
            </w:r>
            <w:r w:rsidRPr="00A308DC">
              <w:t>9</w:t>
            </w:r>
          </w:p>
        </w:tc>
        <w:tc>
          <w:tcPr>
            <w:tcW w:w="2268" w:type="dxa"/>
            <w:shd w:val="clear" w:color="auto" w:fill="auto"/>
          </w:tcPr>
          <w:p w:rsidR="00751A4A" w:rsidRPr="00A308DC" w:rsidP="0010095E" w14:paraId="1E211458" w14:textId="77777777">
            <w:pPr>
              <w:pStyle w:val="EPLogo"/>
            </w:pPr>
            <w:r w:rsidRPr="00A308D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308DC" w:rsidP="004C5D52" w14:paraId="4C80C03D" w14:textId="77777777">
      <w:pPr>
        <w:pStyle w:val="LineTop"/>
      </w:pPr>
    </w:p>
    <w:p w:rsidR="00680577" w:rsidRPr="00A308DC" w:rsidP="00680577" w14:paraId="025BC44C" w14:textId="77777777">
      <w:pPr>
        <w:pStyle w:val="EPBodyTA1"/>
      </w:pPr>
      <w:r w:rsidRPr="00A308DC">
        <w:t>ПРИЕТИ ТЕКСТОВЕ</w:t>
      </w:r>
    </w:p>
    <w:p w:rsidR="00D058B8" w:rsidRPr="00A308DC" w:rsidP="00D058B8" w14:paraId="15864CD0" w14:textId="77777777">
      <w:pPr>
        <w:pStyle w:val="LineBottom"/>
      </w:pPr>
    </w:p>
    <w:p w:rsidR="00C22C36" w:rsidRPr="00A308DC" w:rsidP="00C22C36" w14:paraId="5C3D79B1" w14:textId="0839ABD3">
      <w:pPr>
        <w:pStyle w:val="ATHeading1"/>
      </w:pPr>
      <w:bookmarkStart w:id="0" w:name="TANumber"/>
      <w:r w:rsidRPr="00A308DC">
        <w:t>P10_TA(2026)0</w:t>
      </w:r>
      <w:bookmarkEnd w:id="0"/>
      <w:r w:rsidR="00FC416C">
        <w:t>231</w:t>
      </w:r>
    </w:p>
    <w:p w:rsidR="00C22C36" w:rsidRPr="00A308DC" w:rsidP="00C22C36" w14:paraId="3D7259A3" w14:textId="77777777">
      <w:pPr>
        <w:pStyle w:val="ATHeading2"/>
      </w:pPr>
      <w:bookmarkStart w:id="1" w:name="title"/>
      <w:r w:rsidRPr="00A308DC">
        <w:t xml:space="preserve">Неприемливите провокативни действия на Русия и неразрешеното навлизане на руски </w:t>
      </w:r>
      <w:r w:rsidRPr="00A308DC">
        <w:t>дронове</w:t>
      </w:r>
      <w:r w:rsidRPr="00A308DC">
        <w:t xml:space="preserve"> във въздушното пространство на Румъния, Балтийските държави и Финландия</w:t>
      </w:r>
      <w:bookmarkEnd w:id="1"/>
    </w:p>
    <w:p w:rsidR="00C22C36" w:rsidRPr="00A308DC" w:rsidP="00C22C36" w14:paraId="66E58FFD" w14:textId="35430510">
      <w:pPr>
        <w:rPr>
          <w:i/>
          <w:vanish/>
        </w:rPr>
      </w:pPr>
      <w:r>
        <w:rPr>
          <w:i/>
        </w:rPr>
        <w:fldChar w:fldCharType="begin"/>
      </w:r>
      <w:r w:rsidRPr="00A308DC">
        <w:rPr>
          <w:i/>
        </w:rPr>
        <w:instrText xml:space="preserve"> TC"(</w:instrText>
      </w:r>
      <w:bookmarkStart w:id="2" w:name="DocNumber"/>
      <w:r w:rsidRPr="00A308DC">
        <w:rPr>
          <w:i/>
        </w:rPr>
        <w:instrText xml:space="preserve">B10-0304, 0307, 0308, 0309 </w:instrText>
      </w:r>
      <w:r w:rsidR="00A83AEB">
        <w:rPr>
          <w:i/>
        </w:rPr>
        <w:instrText>и</w:instrText>
      </w:r>
      <w:r w:rsidRPr="00A308DC">
        <w:rPr>
          <w:i/>
        </w:rPr>
        <w:instrText xml:space="preserve"> 0311/2026</w:instrText>
      </w:r>
      <w:bookmarkEnd w:id="2"/>
      <w:r w:rsidRPr="00A308DC">
        <w:rPr>
          <w:i/>
        </w:rPr>
        <w:instrText xml:space="preserve">)"\l3 \n&gt; \* MERGEFORMAT </w:instrText>
      </w:r>
      <w:r>
        <w:rPr>
          <w:i/>
        </w:rPr>
        <w:fldChar w:fldCharType="end"/>
      </w:r>
    </w:p>
    <w:p w:rsidR="00C22C36" w:rsidRPr="00A308DC" w:rsidP="00C22C36" w14:paraId="0FD1CB95" w14:textId="77777777">
      <w:pPr>
        <w:rPr>
          <w:vanish/>
        </w:rPr>
      </w:pPr>
      <w:bookmarkStart w:id="3" w:name="PE"/>
      <w:r w:rsidRPr="00A308DC">
        <w:rPr>
          <w:vanish/>
        </w:rPr>
        <w:t>PE783.361</w:t>
      </w:r>
      <w:bookmarkEnd w:id="3"/>
    </w:p>
    <w:p w:rsidR="00C22C36" w:rsidRPr="00A308DC" w:rsidP="00C22C36" w14:paraId="7E7BD177" w14:textId="2C656497">
      <w:pPr>
        <w:pStyle w:val="ATHeading3"/>
      </w:pPr>
      <w:bookmarkStart w:id="4" w:name="Sujet"/>
      <w:r w:rsidRPr="00A308DC">
        <w:t xml:space="preserve">Резолюция на Европейския парламент от </w:t>
      </w:r>
      <w:r w:rsidR="00A83AEB">
        <w:t>18 юни</w:t>
      </w:r>
      <w:r w:rsidRPr="00A308DC">
        <w:t xml:space="preserve"> 2026 г. относно неприемливите провокативни действия на Русия и неразрешеното навлизане на </w:t>
      </w:r>
      <w:r w:rsidRPr="00A308DC">
        <w:t>дронове</w:t>
      </w:r>
      <w:r w:rsidRPr="00A308DC">
        <w:t xml:space="preserve"> във въздушното пространство на Румъния, балтийските държави и Финландия</w:t>
      </w:r>
      <w:bookmarkEnd w:id="4"/>
      <w:r w:rsidRPr="00A308DC">
        <w:t xml:space="preserve"> </w:t>
      </w:r>
      <w:bookmarkStart w:id="5" w:name="References"/>
      <w:r w:rsidRPr="00A308DC">
        <w:t>(2026/2772(RSP))</w:t>
      </w:r>
      <w:bookmarkEnd w:id="5"/>
    </w:p>
    <w:p w:rsidR="00CE0D13" w:rsidRPr="00A308DC" w:rsidP="00CE0D13" w14:paraId="754064D1" w14:textId="77777777">
      <w:pPr>
        <w:pStyle w:val="EPComma"/>
      </w:pPr>
      <w:bookmarkStart w:id="6" w:name="TextBodyBegin"/>
      <w:bookmarkEnd w:id="6"/>
      <w:r w:rsidRPr="00A308DC">
        <w:rPr>
          <w:i/>
          <w:iCs/>
        </w:rPr>
        <w:t>Европейският парламент</w:t>
      </w:r>
      <w:r w:rsidRPr="00A308DC">
        <w:t>,</w:t>
      </w:r>
    </w:p>
    <w:p w:rsidR="00CE0D13" w:rsidRPr="00A308DC" w:rsidP="00CE0D13" w14:paraId="42689B44" w14:textId="77777777">
      <w:pPr>
        <w:pStyle w:val="NormalHanging12a"/>
      </w:pPr>
      <w:r w:rsidRPr="00A308DC">
        <w:t>–</w:t>
      </w:r>
      <w:r w:rsidRPr="00A308DC">
        <w:tab/>
        <w:t>като взе предвид своите предходни резолюции относно Русия и Украйна, и по-специално резолюцията от 9 октомври 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w:t>
      </w:r>
      <w:r>
        <w:rPr>
          <w:rStyle w:val="FootnoteReference"/>
        </w:rPr>
        <w:footnoteReference w:id="2"/>
      </w:r>
      <w:r w:rsidRPr="00A308DC">
        <w:t>,</w:t>
      </w:r>
    </w:p>
    <w:p w:rsidR="00CE0D13" w:rsidRPr="00A308DC" w:rsidP="00CE0D13" w14:paraId="42194490" w14:textId="77777777">
      <w:pPr>
        <w:pStyle w:val="NormalHanging12a"/>
        <w:rPr>
          <w:rFonts w:eastAsia="Aptos"/>
          <w:kern w:val="2"/>
          <w14:ligatures w14:val="standardContextual"/>
        </w:rPr>
      </w:pPr>
      <w:r w:rsidRPr="00A308DC">
        <w:t>–</w:t>
      </w:r>
      <w:r w:rsidRPr="00A308DC">
        <w:tab/>
        <w:t>като взе предвид Устава на ООН и основните принципи на международното право,</w:t>
      </w:r>
    </w:p>
    <w:p w:rsidR="00CE0D13" w:rsidRPr="00A308DC" w:rsidP="00CE0D13" w14:paraId="5E681F61" w14:textId="77777777">
      <w:pPr>
        <w:pStyle w:val="NormalHanging12a"/>
        <w:rPr>
          <w:rFonts w:eastAsia="Aptos"/>
          <w:kern w:val="2"/>
          <w14:ligatures w14:val="standardContextual"/>
        </w:rPr>
      </w:pPr>
      <w:r w:rsidRPr="00A308DC">
        <w:t>–</w:t>
      </w:r>
      <w:r w:rsidRPr="00A308DC">
        <w:tab/>
        <w:t>като взе предвид Договора за Европейския съюз (ДЕС), и по-специално член 24, параграф 3, член 42, параграф 7 и член 222 от него,</w:t>
      </w:r>
    </w:p>
    <w:p w:rsidR="00CE0D13" w:rsidRPr="00A308DC" w:rsidP="00CE0D13" w14:paraId="5B88A8A0" w14:textId="77777777">
      <w:pPr>
        <w:pStyle w:val="NormalHanging12a"/>
        <w:rPr>
          <w:rFonts w:eastAsia="Aptos"/>
          <w:kern w:val="2"/>
          <w14:ligatures w14:val="standardContextual"/>
        </w:rPr>
      </w:pPr>
      <w:r w:rsidRPr="00A308DC">
        <w:t>–</w:t>
      </w:r>
      <w:r w:rsidRPr="00A308DC">
        <w:tab/>
        <w:t>като взе предвид Северноатлантическия договор от 4 април 1949 г., и по-специално членове 4 и 5 от него,</w:t>
      </w:r>
    </w:p>
    <w:p w:rsidR="00CE0D13" w:rsidRPr="00A308DC" w:rsidP="00CE0D13" w14:paraId="24B9DA8B" w14:textId="77777777">
      <w:pPr>
        <w:pStyle w:val="NormalHanging12a"/>
      </w:pPr>
      <w:r w:rsidRPr="00A308DC">
        <w:t>–</w:t>
      </w:r>
      <w:r w:rsidRPr="00A308DC">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19 март 2025 г., озаглавено „Съвместна бяла книга за европейската отбранителна готовност до 2030 г.“ (JOIN(2025)0120), и своята резолюция от 12 март 2025 г. във връзка с него</w:t>
      </w:r>
      <w:r>
        <w:rPr>
          <w:rStyle w:val="FootnoteReference"/>
        </w:rPr>
        <w:footnoteReference w:id="3"/>
      </w:r>
      <w:r w:rsidRPr="00A308DC">
        <w:t>,</w:t>
      </w:r>
    </w:p>
    <w:p w:rsidR="00CE0D13" w:rsidRPr="00A308DC" w:rsidP="00CE0D13" w14:paraId="0901C6DD" w14:textId="77777777">
      <w:pPr>
        <w:pStyle w:val="NormalHanging12a"/>
        <w:rPr>
          <w:rFonts w:eastAsia="Aptos"/>
          <w:kern w:val="2"/>
          <w14:ligatures w14:val="standardContextual"/>
        </w:rPr>
      </w:pPr>
      <w:r w:rsidRPr="00A308DC">
        <w:t>–</w:t>
      </w:r>
      <w:r w:rsidRPr="00A308DC">
        <w:tab/>
        <w:t xml:space="preserve">като взе предвид съвместното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w:t>
      </w:r>
      <w:r w:rsidRPr="00A308DC">
        <w:t>готовност до 2030 г.“ (JOIN(2025)0027),</w:t>
      </w:r>
    </w:p>
    <w:p w:rsidR="00CE0D13" w:rsidRPr="00A308DC" w:rsidP="00CE0D13" w14:paraId="2436C0E3" w14:textId="77777777">
      <w:pPr>
        <w:pStyle w:val="NormalHanging12a"/>
        <w:rPr>
          <w:rFonts w:eastAsia="Aptos"/>
          <w:kern w:val="2"/>
          <w14:ligatures w14:val="standardContextual"/>
        </w:rPr>
      </w:pPr>
      <w:r w:rsidRPr="00A308DC">
        <w:t>–</w:t>
      </w:r>
      <w:r w:rsidRPr="00A308DC">
        <w:tab/>
        <w:t>като взе предвид заключенията на Европейския съвет от 19 март 2026 г. относно продължаващата подкрепа на ЕС за Украйна,</w:t>
      </w:r>
    </w:p>
    <w:p w:rsidR="00CE0D13" w:rsidRPr="00A308DC" w:rsidP="00CE0D13" w14:paraId="63928B92" w14:textId="77777777">
      <w:pPr>
        <w:pStyle w:val="NormalHanging12a"/>
        <w:rPr>
          <w:rFonts w:eastAsia="Aptos"/>
          <w:kern w:val="2"/>
          <w14:ligatures w14:val="standardContextual"/>
        </w:rPr>
      </w:pPr>
      <w:r w:rsidRPr="00A308DC">
        <w:t>–</w:t>
      </w:r>
      <w:r w:rsidRPr="00A308DC">
        <w:tab/>
        <w:t xml:space="preserve">като взе предвид изявленията на председателя на Комисията, г-жа Урсула фон </w:t>
      </w:r>
      <w:r w:rsidRPr="00A308DC">
        <w:t>дер</w:t>
      </w:r>
      <w:r w:rsidRPr="00A308DC">
        <w:t xml:space="preserve"> </w:t>
      </w:r>
      <w:r w:rsidRPr="00A308DC">
        <w:t>Лайен</w:t>
      </w:r>
      <w:r w:rsidRPr="00A308DC">
        <w:t>, от 20 май 2026 г. относно руските заплахи срещу балтийските държави,</w:t>
      </w:r>
    </w:p>
    <w:p w:rsidR="00CE0D13" w:rsidRPr="00A308DC" w:rsidP="00CE0D13" w14:paraId="08014858" w14:textId="77777777">
      <w:pPr>
        <w:pStyle w:val="NormalHanging12a"/>
        <w:rPr>
          <w:rFonts w:eastAsia="Aptos"/>
          <w:kern w:val="2"/>
          <w14:ligatures w14:val="standardContextual"/>
        </w:rPr>
      </w:pPr>
      <w:r w:rsidRPr="00A308DC">
        <w:t>–</w:t>
      </w:r>
      <w:r w:rsidRPr="00A308DC">
        <w:tab/>
        <w:t>като взе предвид изявлението, направено от заместник-председателя на Комисията / върховен представител на Съюза по въпросите на външните работи и политиката на сигурност Кая Калас на 29 май 2026 , с което се осъжда безразсъдното нарушаване на въздушното пространство на ЕС от страна на Русия,</w:t>
      </w:r>
    </w:p>
    <w:p w:rsidR="00CE0D13" w:rsidRPr="00A308DC" w:rsidP="00CE0D13" w14:paraId="34410574" w14:textId="77777777">
      <w:pPr>
        <w:pStyle w:val="NormalHanging12a"/>
      </w:pPr>
      <w:r w:rsidRPr="00A308DC">
        <w:t>–</w:t>
      </w:r>
      <w:r w:rsidRPr="00A308DC">
        <w:tab/>
        <w:t>като взе предвид член 136, параграфи 2 и 4 от своя Правилник за дейността,</w:t>
      </w:r>
    </w:p>
    <w:p w:rsidR="00CE0D13" w:rsidRPr="00A308DC" w:rsidP="00CE0D13" w14:paraId="3D7AF06F" w14:textId="77777777">
      <w:pPr>
        <w:pStyle w:val="NormalHanging12a"/>
      </w:pPr>
      <w:r w:rsidRPr="00A308DC">
        <w:t>А.</w:t>
      </w:r>
      <w:r w:rsidRPr="00A308DC">
        <w:tab/>
        <w:t xml:space="preserve">като има предвид, че преди повече от четири години Русия започна своята незаконна, </w:t>
      </w:r>
      <w:r w:rsidRPr="00A308DC">
        <w:t>непровокирана</w:t>
      </w:r>
      <w:r w:rsidRPr="00A308DC">
        <w:t xml:space="preserve"> и неоправдана пълномащабна агресивна война срещу Украйна, която е продължение на анексирането на Крим през 2014 г. и на окупацията на части от региона на Донбас в грубо нарушение на международното право и на териториалния суверенитет на Украйна; като има предвид, че от началото на пълномащабното руско нашествие в Украйна се наблюдава неразрешено навлизане във въздушното пространство на НАТО и ЕС, в основата на които е Русия, като напоследък честотата и интензивността на тези случаи се повиши;</w:t>
      </w:r>
    </w:p>
    <w:p w:rsidR="00CE0D13" w:rsidRPr="00A308DC" w:rsidP="00CE0D13" w14:paraId="30669C21" w14:textId="77777777">
      <w:pPr>
        <w:pStyle w:val="NormalHanging12a"/>
        <w:rPr>
          <w:rFonts w:eastAsia="Aptos"/>
          <w:kern w:val="2"/>
          <w14:ligatures w14:val="standardContextual"/>
        </w:rPr>
      </w:pPr>
      <w:r w:rsidRPr="00A308DC">
        <w:t>Б.</w:t>
      </w:r>
      <w:r w:rsidRPr="00A308DC">
        <w:tab/>
        <w:t xml:space="preserve">като има предвид, че военното присъствие на Русия по източния фланг на ЕС продължава и включва също така територията на Беларус, която е съучастник в агресивната война на Русия срещу Украйна и хибридните атаки срещу ЕС, по-специално чрез </w:t>
      </w:r>
      <w:r w:rsidRPr="00A308DC">
        <w:t>инструментализирането</w:t>
      </w:r>
      <w:r w:rsidRPr="00A308DC">
        <w:t xml:space="preserve"> на незаконната миграция, организирана престъпност, дезинформация и пускане на метеорологични балони, които представляват сериозни заплахи за сигурността, включващи постоянното нарушаване на гражданското въздухоплаване, тероризирането на съседните на Беларус държави като Латвия, Литва и Полша и нанасянето на вреди на местните икономики;</w:t>
      </w:r>
    </w:p>
    <w:p w:rsidR="00CE0D13" w:rsidRPr="00A308DC" w:rsidP="00CE0D13" w14:paraId="6B80749A" w14:textId="77777777">
      <w:pPr>
        <w:pStyle w:val="NormalHanging12a"/>
        <w:rPr>
          <w:rFonts w:eastAsia="Aptos"/>
          <w:kern w:val="2"/>
          <w14:ligatures w14:val="standardContextual"/>
        </w:rPr>
      </w:pPr>
      <w:r w:rsidRPr="00A308DC">
        <w:t>В.</w:t>
      </w:r>
      <w:r w:rsidRPr="00A308DC">
        <w:tab/>
        <w:t xml:space="preserve">като има предвид, че Естония, Финландия, Латвия, Литва, Румъния и други държави членки са обект на опити от страна на Русия за дестабилизация, които се извършват под формата на неразрешено навлизане на </w:t>
      </w:r>
      <w:r w:rsidRPr="00A308DC">
        <w:t>дронове</w:t>
      </w:r>
      <w:r w:rsidRPr="00A308DC">
        <w:t xml:space="preserve"> и нарушаване на въздушното пространство, пропаганда и дезинформация, електронна война, предизвикване на смущения в глобалната навигационна спътникова система (ГНСС), кибератаки и саботаж;</w:t>
      </w:r>
    </w:p>
    <w:p w:rsidR="00CE0D13" w:rsidRPr="00A308DC" w:rsidP="00CE0D13" w14:paraId="3A063740" w14:textId="77777777">
      <w:pPr>
        <w:pStyle w:val="NormalHanging12a"/>
      </w:pPr>
      <w:r w:rsidRPr="00A308DC">
        <w:t>Г.</w:t>
      </w:r>
      <w:r w:rsidRPr="00A308DC">
        <w:tab/>
        <w:t xml:space="preserve">като има предвид, че на 29 май 2026 г. руски </w:t>
      </w:r>
      <w:r w:rsidRPr="00A308DC">
        <w:t>дрон</w:t>
      </w:r>
      <w:r w:rsidRPr="00A308DC">
        <w:t xml:space="preserve"> се разби в жилищна сграда в Галац, Румъния, като причини експлозия, при която бяха ранени двама души; като има предвид, че това беше първият подобен инцидент на територията на държава — членка на ЕС и НАТО, който доведе до наранявания, налагащи да се окаже медицинска помощ; като има предвид, че над 70 души трябваше да бъдат евакуирани;</w:t>
      </w:r>
    </w:p>
    <w:p w:rsidR="00CE0D13" w:rsidRPr="00A308DC" w:rsidP="00CE0D13" w14:paraId="1B825D1B" w14:textId="77777777">
      <w:pPr>
        <w:pStyle w:val="NormalHanging12a"/>
        <w:rPr>
          <w:rFonts w:eastAsia="Aptos"/>
          <w:kern w:val="2"/>
          <w14:ligatures w14:val="standardContextual"/>
        </w:rPr>
      </w:pPr>
      <w:r w:rsidRPr="00A308DC">
        <w:t>Д.</w:t>
      </w:r>
      <w:r w:rsidRPr="00A308DC">
        <w:tab/>
        <w:t xml:space="preserve">като има предвид, че на 19 май 2026 г. навлязъл без разрешение </w:t>
      </w:r>
      <w:r w:rsidRPr="00A308DC">
        <w:t>дрон</w:t>
      </w:r>
      <w:r w:rsidRPr="00A308DC">
        <w:t xml:space="preserve">, летящ в естонското въздушно пространство, беше свален от румънски изтребител, </w:t>
      </w:r>
      <w:r w:rsidRPr="00A308DC">
        <w:t>участващ в мисията на НАТО за патрулиране във въздушното пространство на Прибалтика (</w:t>
      </w:r>
      <w:r w:rsidRPr="00A308DC">
        <w:t>Baltic</w:t>
      </w:r>
      <w:r w:rsidRPr="00A308DC">
        <w:t xml:space="preserve"> Air </w:t>
      </w:r>
      <w:r w:rsidRPr="00A308DC">
        <w:t>Policing</w:t>
      </w:r>
      <w:r w:rsidRPr="00A308DC">
        <w:t xml:space="preserve">); като има предвид, че на 20 май 2026 г. неразрешеното навлизане на неидентифициран </w:t>
      </w:r>
      <w:r w:rsidRPr="00A308DC">
        <w:t>дрон</w:t>
      </w:r>
      <w:r w:rsidRPr="00A308DC">
        <w:t xml:space="preserve"> в литовското въздушно пространство принуди органите да отправят безпрецедентно предупреждение за въздушно нападение, което принуди цивилното население да потърси безопасност в убежища; като има предвид, че на 8 юни 2026 г. френски изтребители от НАТО, участващи в мисия на НАТО, свалиха </w:t>
      </w:r>
      <w:r w:rsidRPr="00A308DC">
        <w:t>дронове</w:t>
      </w:r>
      <w:r w:rsidRPr="00A308DC">
        <w:t xml:space="preserve">, прелитащи над Латвия; като има предвид, че това неразрешено навлизане на </w:t>
      </w:r>
      <w:r w:rsidRPr="00A308DC">
        <w:t>дронове</w:t>
      </w:r>
      <w:r w:rsidRPr="00A308DC">
        <w:t xml:space="preserve"> е пряк резултат от агресивната война на Русия срещу Украйна, като по-голямата част от тях навлизат във въздушното пространство на ЕС в резултат от руската електронна война; като има предвид, че през март 2026 г. поради намеса на руските системи за електронна война най-малко три украински </w:t>
      </w:r>
      <w:r w:rsidRPr="00A308DC">
        <w:t>дрона</w:t>
      </w:r>
      <w:r w:rsidRPr="00A308DC">
        <w:t xml:space="preserve"> са се отклонили от предвидения си курс и са навлезли на финландска територия, където са се разбили;</w:t>
      </w:r>
    </w:p>
    <w:p w:rsidR="00CE0D13" w:rsidRPr="00A308DC" w:rsidP="00CE0D13" w14:paraId="733A99E4" w14:textId="77777777">
      <w:pPr>
        <w:pStyle w:val="NormalHanging12a"/>
        <w:rPr>
          <w:rFonts w:eastAsia="Aptos"/>
          <w:kern w:val="2"/>
          <w14:ligatures w14:val="standardContextual"/>
        </w:rPr>
      </w:pPr>
      <w:r w:rsidRPr="00A308DC">
        <w:t>Е.</w:t>
      </w:r>
      <w:r w:rsidRPr="00A308DC">
        <w:tab/>
        <w:t xml:space="preserve">като има предвид, че на 29 май 2026 г. украински военноморски </w:t>
      </w:r>
      <w:r w:rsidRPr="00A308DC">
        <w:t>дрон</w:t>
      </w:r>
      <w:r w:rsidRPr="00A308DC">
        <w:t xml:space="preserve"> избухна в румънското пристанище Констанца в резултат от мерките за електронна война, използвани от Руската федерация, като причини щети по имущество, но не и човешки жертви;</w:t>
      </w:r>
    </w:p>
    <w:p w:rsidR="00CE0D13" w:rsidRPr="00A308DC" w:rsidP="00CE0D13" w14:paraId="2A2EABCD" w14:textId="0FE583F9">
      <w:pPr>
        <w:pStyle w:val="NormalHanging12a"/>
        <w:rPr>
          <w:spacing w:val="-2"/>
        </w:rPr>
      </w:pPr>
      <w:r w:rsidRPr="00A308DC">
        <w:t>Ж.</w:t>
      </w:r>
      <w:r w:rsidRPr="00A308DC">
        <w:tab/>
        <w:t xml:space="preserve">като има предвид, че на 7 май 2026 г. два украински </w:t>
      </w:r>
      <w:r w:rsidRPr="00A308DC">
        <w:t>дрона</w:t>
      </w:r>
      <w:r w:rsidRPr="00A308DC">
        <w:t xml:space="preserve">, заглушени от руски системи за водене на електронна война, удариха склад за съхранение на гориво в </w:t>
      </w:r>
      <w:r w:rsidRPr="00A308DC">
        <w:t>Резекне</w:t>
      </w:r>
      <w:r w:rsidRPr="00A308DC">
        <w:t>, Латвия;</w:t>
      </w:r>
    </w:p>
    <w:p w:rsidR="00CE0D13" w:rsidRPr="00A308DC" w:rsidP="00CE0D13" w14:paraId="5B81A792" w14:textId="77777777">
      <w:pPr>
        <w:pStyle w:val="NormalHanging12a"/>
        <w:rPr>
          <w:rFonts w:eastAsia="Aptos"/>
          <w:kern w:val="2"/>
          <w14:ligatures w14:val="standardContextual"/>
        </w:rPr>
      </w:pPr>
      <w:r w:rsidRPr="00A308DC">
        <w:t>З.</w:t>
      </w:r>
      <w:r w:rsidRPr="00A308DC">
        <w:tab/>
        <w:t xml:space="preserve">като има предвид, че в региона на Балтийско море има висока концентрация на критична инфраструктура, включително подводни енергийни и телекомуникационни мрежи, транспортни връзки и други стратегически активи, което го прави особено уязвим на хибридни нападения, саботаж и заплахи, свързани с </w:t>
      </w:r>
      <w:r w:rsidRPr="00A308DC">
        <w:t>дронове</w:t>
      </w:r>
      <w:r w:rsidRPr="00A308DC">
        <w:t>; като има предвид, че за защитата на критичната инфраструктура са необходими както физическо укрепване, така и увеличаване на дублирането и децентрализацията, както е видно от поуките, извлечени от нападенията на Русия срещу украинската инфраструктура;</w:t>
      </w:r>
    </w:p>
    <w:p w:rsidR="00CE0D13" w:rsidRPr="00A308DC" w:rsidP="00CE0D13" w14:paraId="18066C8D" w14:textId="77777777">
      <w:pPr>
        <w:pStyle w:val="NormalHanging12a"/>
      </w:pPr>
      <w:r w:rsidRPr="00A308DC">
        <w:t>И.</w:t>
      </w:r>
      <w:r w:rsidRPr="00A308DC">
        <w:tab/>
      </w:r>
      <w:r w:rsidRPr="00A308DC">
        <w:rPr>
          <w:rStyle w:val="normaltextrun"/>
          <w:color w:val="000000"/>
        </w:rPr>
        <w:t>като има предвид, че извеждането от експлоатация на атомната електроцентрала „</w:t>
      </w:r>
      <w:r w:rsidRPr="00A308DC">
        <w:rPr>
          <w:rStyle w:val="normaltextrun"/>
          <w:color w:val="000000"/>
        </w:rPr>
        <w:t>Игналина</w:t>
      </w:r>
      <w:r w:rsidRPr="00A308DC">
        <w:rPr>
          <w:rStyle w:val="normaltextrun"/>
          <w:color w:val="000000"/>
        </w:rPr>
        <w:t>“ в Литва представлява значителна заплаха за регионалната сигурност и околната среда поради наличието на големи количества отработено ядрено гориво и радиоактивни отпадъци, съхранявани във временни надземни съоръжения, и като има предвид, че всяка авария или умишлена провокация спрямо тази критична инфраструктура може да има трагични последици за целия Балтийски регион и далеч отвъд неговите граници</w:t>
      </w:r>
      <w:r w:rsidRPr="00A308DC">
        <w:t>;</w:t>
      </w:r>
    </w:p>
    <w:p w:rsidR="00CE0D13" w:rsidRPr="00A308DC" w:rsidP="00CE0D13" w14:paraId="497F0EE6" w14:textId="77777777">
      <w:pPr>
        <w:pStyle w:val="NormalHanging12a"/>
        <w:rPr>
          <w:rFonts w:eastAsia="Aptos"/>
          <w:kern w:val="2"/>
          <w14:ligatures w14:val="standardContextual"/>
        </w:rPr>
      </w:pPr>
      <w:r w:rsidRPr="00A308DC">
        <w:t>Й.</w:t>
      </w:r>
      <w:r w:rsidRPr="00A308DC">
        <w:tab/>
        <w:t>като има предвид, че е имало други сериозни инциденти, при които са били налице подозрения за нарушения от страна на Русия на въздушното пространство на държави — членки на ЕС;</w:t>
      </w:r>
    </w:p>
    <w:p w:rsidR="00CE0D13" w:rsidRPr="00A308DC" w:rsidP="00CE0D13" w14:paraId="2A6B77CE" w14:textId="77777777">
      <w:pPr>
        <w:pStyle w:val="NormalHanging12a"/>
        <w:rPr>
          <w:rFonts w:eastAsia="Aptos"/>
          <w:kern w:val="2"/>
          <w14:ligatures w14:val="standardContextual"/>
        </w:rPr>
      </w:pPr>
      <w:r w:rsidRPr="00A308DC">
        <w:t>К.</w:t>
      </w:r>
      <w:r w:rsidRPr="00A308DC">
        <w:tab/>
        <w:t xml:space="preserve">като има предвид, че сигурността и защитата на държавите – членки на ЕС, по неговия източен фланг са непосредствен приоритет и съвместна европейска отговорност, особено като се има предвид, че хибридните атаки се извършват чрез съвременни военни действия с </w:t>
      </w:r>
      <w:r w:rsidRPr="00A308DC">
        <w:t>дронове</w:t>
      </w:r>
      <w:r w:rsidRPr="00A308DC">
        <w:t xml:space="preserve"> — област, в която капацитетът на държавите – членки на ЕС, далеч не е доизграден;</w:t>
      </w:r>
    </w:p>
    <w:p w:rsidR="00CE0D13" w:rsidRPr="00A308DC" w:rsidP="00CE0D13" w14:paraId="77DFE30A" w14:textId="77777777">
      <w:pPr>
        <w:pStyle w:val="NormalHanging12a"/>
        <w:rPr>
          <w:rFonts w:eastAsia="Aptos"/>
          <w:kern w:val="2"/>
          <w14:ligatures w14:val="standardContextual"/>
        </w:rPr>
      </w:pPr>
      <w:r w:rsidRPr="00A308DC">
        <w:t>Л.</w:t>
      </w:r>
      <w:r w:rsidRPr="00A308DC">
        <w:tab/>
        <w:t xml:space="preserve">като има предвид, че инцидентите с </w:t>
      </w:r>
      <w:r w:rsidRPr="00A308DC">
        <w:t>дронове</w:t>
      </w:r>
      <w:r w:rsidRPr="00A308DC">
        <w:t xml:space="preserve"> по източния фланг на ЕС разкриха </w:t>
      </w:r>
      <w:r w:rsidRPr="00A308DC">
        <w:t xml:space="preserve">значителни пропуски както във военната, така и в гражданската подготвеност; като има предвид, че съществуващите радарни системи често се оказват неспособни да проследяват обекти на ниска надморска височина, методите, избрани за прихващане на безпилотни летателни апарати (БЛА), са икономически неефективни и докладите за инциденти разкриха, че някои </w:t>
      </w:r>
      <w:r w:rsidRPr="00A308DC">
        <w:t>бомбоубежища</w:t>
      </w:r>
      <w:r w:rsidRPr="00A308DC">
        <w:t xml:space="preserve"> са били заключени или недостъпни за обществеността; като има предвид, че тези пропуски подчертават неотложните за отстраняване системни уязвимости в процедурите за предупреждение и реагиране, както и по отношение на устойчивостта на обществото в по-широк смисъл;</w:t>
      </w:r>
    </w:p>
    <w:p w:rsidR="00CE0D13" w:rsidRPr="00A308DC" w:rsidP="00CE0D13" w14:paraId="6315E23A" w14:textId="77777777">
      <w:pPr>
        <w:pStyle w:val="NormalHanging12a"/>
        <w:rPr>
          <w:rStyle w:val="normaltextrun"/>
          <w:rFonts w:eastAsia="Aptos"/>
          <w:color w:val="000000"/>
          <w:kern w:val="2"/>
          <w:szCs w:val="22"/>
          <w14:ligatures w14:val="standardContextual"/>
        </w:rPr>
      </w:pPr>
      <w:r w:rsidRPr="00A308DC">
        <w:rPr>
          <w:rStyle w:val="normaltextrun"/>
          <w:color w:val="000000"/>
        </w:rPr>
        <w:t>М.</w:t>
      </w:r>
      <w:r w:rsidRPr="00A308DC">
        <w:rPr>
          <w:rStyle w:val="normaltextrun"/>
          <w:color w:val="000000"/>
        </w:rPr>
        <w:tab/>
        <w:t>като има предвид, че при последните си нападения срещу Украйна Русия подпали</w:t>
      </w:r>
      <w:r w:rsidRPr="00A308DC">
        <w:t xml:space="preserve"> Киево-</w:t>
      </w:r>
      <w:r w:rsidRPr="00A308DC">
        <w:t>Печерската</w:t>
      </w:r>
      <w:r w:rsidRPr="00A308DC">
        <w:t xml:space="preserve"> лавра, исторически за Източното християнство манастир и обект от световното наследство на ЮНЕСКО, наред с други безценни обекти на културното наследство;</w:t>
      </w:r>
    </w:p>
    <w:p w:rsidR="00CE0D13" w:rsidRPr="00A308DC" w:rsidP="00CE0D13" w14:paraId="5994C4FA" w14:textId="77777777">
      <w:pPr>
        <w:pStyle w:val="NormalHanging12a"/>
      </w:pPr>
      <w:r w:rsidRPr="00A308DC">
        <w:t>Н.</w:t>
      </w:r>
      <w:r w:rsidRPr="00A308DC">
        <w:tab/>
        <w:t xml:space="preserve">като има предвид, че тези неотдавнашни инциденти с </w:t>
      </w:r>
      <w:r w:rsidRPr="00A308DC">
        <w:t>дронове</w:t>
      </w:r>
      <w:r w:rsidRPr="00A308DC">
        <w:t xml:space="preserve"> показаха спешната необходимост от многопластови отбранителни способности, включващи кинетични и некинетични системи за противодействие на безпилотни летателни системи (C-UAS); като има предвид, че </w:t>
      </w:r>
      <w:r w:rsidRPr="00A308DC">
        <w:t>дроновете</w:t>
      </w:r>
      <w:r w:rsidRPr="00A308DC">
        <w:t xml:space="preserve"> се превърнаха в определяща характеристика на съвременните военни действия и хибридни конфликти и че използването им в Украйна промени из основи изискванията в областта на отбраната и оперативните доктрини на целия континент;</w:t>
      </w:r>
    </w:p>
    <w:p w:rsidR="00CE0D13" w:rsidRPr="00A308DC" w:rsidP="00CE0D13" w14:paraId="3B5598F7" w14:textId="77777777">
      <w:pPr>
        <w:pStyle w:val="NormalHanging12a"/>
      </w:pPr>
      <w:r w:rsidRPr="00A308DC">
        <w:t>О.</w:t>
      </w:r>
      <w:r w:rsidRPr="00A308DC">
        <w:tab/>
        <w:t xml:space="preserve">като има предвид, че Арктика и Далечният север придобиват все по-голямо значение за европейската сигурност, но ограниченото покритие със сензори и слабото постоянно присъствие създават уязвимости, които враждебни участници може да се опитат да използват чрез безпилотни системи и хибридни операции, като по този начин се увеличава опасността от враждебно неразрешено навлизане на </w:t>
      </w:r>
      <w:r w:rsidRPr="00A308DC">
        <w:t>дронове</w:t>
      </w:r>
      <w:r w:rsidRPr="00A308DC">
        <w:t xml:space="preserve"> дълбоко на територията на ЕС;</w:t>
      </w:r>
    </w:p>
    <w:p w:rsidR="00CE0D13" w:rsidRPr="00A308DC" w:rsidP="00CE0D13" w14:paraId="5DDA1604" w14:textId="77777777">
      <w:pPr>
        <w:pStyle w:val="NormalHanging12a"/>
      </w:pPr>
      <w:r w:rsidRPr="00A308DC">
        <w:t>1.</w:t>
      </w:r>
      <w:r w:rsidRPr="00A308DC">
        <w:tab/>
        <w:t xml:space="preserve">решително осъжда неприемливите провокативни действия и неразрешено навлизане на </w:t>
      </w:r>
      <w:r w:rsidRPr="00A308DC">
        <w:t>дронове</w:t>
      </w:r>
      <w:r w:rsidRPr="00A308DC">
        <w:t xml:space="preserve"> от страна на Русия в държавите – членки на ЕС;</w:t>
      </w:r>
    </w:p>
    <w:p w:rsidR="00CE0D13" w:rsidRPr="00A308DC" w:rsidP="00CE0D13" w14:paraId="128B92F0" w14:textId="77777777">
      <w:pPr>
        <w:pStyle w:val="NormalHanging12a"/>
        <w:rPr>
          <w:rFonts w:eastAsia="Aptos"/>
          <w:kern w:val="2"/>
          <w14:ligatures w14:val="standardContextual"/>
        </w:rPr>
      </w:pPr>
      <w:r w:rsidRPr="00A308DC">
        <w:t>2.</w:t>
      </w:r>
      <w:r w:rsidRPr="00A308DC">
        <w:tab/>
        <w:t>отново потвърждава пълната си солидарност с Естония, Финландия, Латвия, Литва и Румъния, чиято територия, въздушно пространство и критична инфраструктура са обект на провокации в рамките на хибридна война от страна на Русия; отново потвърждава, че ЕС няма да бъде сплашен от кампанията на Русия за дестабилизация и е единен в решимостта си да защитава сигурността, суверенитета и териториалната цялост на всички държави – членки на ЕС и да продължи да подкрепя Украйна;</w:t>
      </w:r>
    </w:p>
    <w:p w:rsidR="00CE0D13" w:rsidRPr="00A308DC" w:rsidP="00CE0D13" w14:paraId="0F90C1DB" w14:textId="77777777">
      <w:pPr>
        <w:pStyle w:val="NormalHanging12a"/>
        <w:rPr>
          <w:rStyle w:val="normaltextrun"/>
          <w:rFonts w:eastAsia="Aptos"/>
          <w:color w:val="000000"/>
          <w:kern w:val="2"/>
          <w:szCs w:val="22"/>
          <w14:ligatures w14:val="standardContextual"/>
        </w:rPr>
      </w:pPr>
      <w:r w:rsidRPr="00A308DC">
        <w:rPr>
          <w:rStyle w:val="normaltextrun"/>
          <w:color w:val="000000"/>
        </w:rPr>
        <w:t>3.</w:t>
      </w:r>
      <w:r w:rsidRPr="00A308DC">
        <w:rPr>
          <w:rStyle w:val="normaltextrun"/>
          <w:color w:val="000000"/>
        </w:rPr>
        <w:tab/>
        <w:t>признава особено силната уязвимост на гражданите в пограничните региони на ЕС по източния фланг, които са изложени в най-голяма степен на сериозни заплахи и които в резултат на това понасят и значителни икономически и социални разходи, и изразява пълната си солидарност с тях; призовава за целенасочени мерки на равнището на ЕС, включително и специална финансова подкрепа, с цел да се засили защитата на засегнатите общности и критична инфраструктура и да се гарантират предотвратяването, готовността, устойчивостта и реагирането при извънредни ситуации и възстановяването в тези особено силно засегнати региони;</w:t>
      </w:r>
    </w:p>
    <w:p w:rsidR="00CE0D13" w:rsidRPr="00A308DC" w:rsidP="00CE0D13" w14:paraId="3F6998AB" w14:textId="77777777">
      <w:pPr>
        <w:pStyle w:val="NormalHanging12a"/>
        <w:rPr>
          <w:rFonts w:eastAsia="Aptos"/>
          <w:kern w:val="2"/>
          <w14:ligatures w14:val="standardContextual"/>
        </w:rPr>
      </w:pPr>
      <w:r w:rsidRPr="00A308DC">
        <w:t>4.</w:t>
      </w:r>
      <w:r w:rsidRPr="00A308DC">
        <w:tab/>
        <w:t xml:space="preserve">осъжда недвусмислено взривяването на руски </w:t>
      </w:r>
      <w:r w:rsidRPr="00A308DC">
        <w:t>дрон</w:t>
      </w:r>
      <w:r w:rsidRPr="00A308DC">
        <w:t xml:space="preserve"> в жилищна сграда в Галац, Румъния, което доведе пряко до пострадали сред цивилното население и съставлява тежка и сериозна ескалация; счита, че многократното неразрешено навлизане на </w:t>
      </w:r>
      <w:r w:rsidRPr="00A308DC">
        <w:t>дронове</w:t>
      </w:r>
      <w:r w:rsidRPr="00A308DC">
        <w:t xml:space="preserve"> и нарушаване на въздушното пространство на държави от ЕС не са изолирани инциденти, а неразделна част от по-широката стратегия на Русия за сплашване, насочена срещу ЕС и неговите съюзници;</w:t>
      </w:r>
    </w:p>
    <w:p w:rsidR="00CE0D13" w:rsidRPr="00A308DC" w:rsidP="00CE0D13" w14:paraId="5112B51B" w14:textId="77777777">
      <w:pPr>
        <w:pStyle w:val="NormalHanging12a"/>
        <w:rPr>
          <w:rFonts w:eastAsia="Aptos"/>
          <w:kern w:val="2"/>
          <w14:ligatures w14:val="standardContextual"/>
        </w:rPr>
      </w:pPr>
      <w:r w:rsidRPr="00A308DC">
        <w:t>5.</w:t>
      </w:r>
      <w:r w:rsidRPr="00A308DC">
        <w:tab/>
      </w:r>
      <w:r w:rsidRPr="00A308DC">
        <w:rPr>
          <w:rStyle w:val="normaltextrun"/>
          <w:color w:val="000000"/>
        </w:rPr>
        <w:t xml:space="preserve">заявява, че Русия носи пълна и недвусмислена отговорност за тези безразсъдни ескалиращи нападения, които застрашават живота на хората; отново заявява, че актовете на Руската федерация представляват умишлена, систематична и продължаваща заплаха за сигурността, устойчивостта и суверенитета на ЕС и неговите държави членки; </w:t>
      </w:r>
      <w:r w:rsidRPr="00A308DC">
        <w:t xml:space="preserve">отново осъжда по възможно най-категоричен начин противозаконната, </w:t>
      </w:r>
      <w:r w:rsidRPr="00A308DC">
        <w:t>непровокирана</w:t>
      </w:r>
      <w:r w:rsidRPr="00A308DC">
        <w:t xml:space="preserve"> и неоправдана агресивна война на Русия срещу Украйна, както и съучастието на Беларус в нея; категорично осъжда решението на Русия да продължи агресивната си война, включително последните си целенасочени нападения срещу обекти на културното наследство и обекта на световното наследство на ЮНЕСКО – Киево-</w:t>
      </w:r>
      <w:r w:rsidRPr="00A308DC">
        <w:t>Печерската</w:t>
      </w:r>
      <w:r w:rsidRPr="00A308DC">
        <w:t xml:space="preserve"> лавра, като същевременно отказва всякакви преки преговори с Украйна, каквито наскоро бяха предложени от украинския президент Володимир </w:t>
      </w:r>
      <w:r w:rsidRPr="00A308DC">
        <w:t>Зеленски</w:t>
      </w:r>
      <w:r w:rsidRPr="00A308DC">
        <w:t>;</w:t>
      </w:r>
    </w:p>
    <w:p w:rsidR="00CE0D13" w:rsidRPr="00A308DC" w:rsidP="00CE0D13" w14:paraId="55BAB69B" w14:textId="77777777">
      <w:pPr>
        <w:pStyle w:val="NormalHanging12a"/>
        <w:rPr>
          <w:rFonts w:eastAsia="Aptos"/>
          <w:kern w:val="2"/>
          <w14:ligatures w14:val="standardContextual"/>
        </w:rPr>
      </w:pPr>
      <w:r w:rsidRPr="00A308DC">
        <w:t>6.</w:t>
      </w:r>
      <w:r w:rsidRPr="00A308DC">
        <w:tab/>
        <w:t>отново осъжда умишленото заглушаване от страна на Русия на сигнали от ГНСС в регионите на Балтийско море и Черно море, както и преднамереното пускане на метеорологични балони от страна на Беларус, което създава сериозни рискове за безопасността на гражданското въздухоплаване и морския транспорт; освен това осъжда Беларус заради хибридните ѝ атаки срещу ЕС;</w:t>
      </w:r>
    </w:p>
    <w:p w:rsidR="00CE0D13" w:rsidRPr="00A308DC" w:rsidP="00CE0D13" w14:paraId="76FC446D" w14:textId="77777777">
      <w:pPr>
        <w:pStyle w:val="NormalHanging12a"/>
        <w:rPr>
          <w:rFonts w:eastAsia="Aptos"/>
          <w:kern w:val="2"/>
          <w14:ligatures w14:val="standardContextual"/>
        </w:rPr>
      </w:pPr>
      <w:r w:rsidRPr="00A308DC">
        <w:t>7.</w:t>
      </w:r>
      <w:r w:rsidRPr="00A308DC">
        <w:tab/>
        <w:t xml:space="preserve">отново призовава за спешно ускоряване на производството и доставката на приоритетно военно оборудване за Украйна, по-специално на системи за противовъздушна отбрана, боеприпаси, </w:t>
      </w:r>
      <w:r w:rsidRPr="00A308DC">
        <w:t>дронове</w:t>
      </w:r>
      <w:r w:rsidRPr="00A308DC">
        <w:t xml:space="preserve"> и ракети, в критичен момент, когато острият недостиг на способности за противовъздушна отбрана излага населението и инфраструктурата на Украйна на все по-голям риск;</w:t>
      </w:r>
    </w:p>
    <w:p w:rsidR="00CE0D13" w:rsidRPr="00A308DC" w:rsidP="00CE0D13" w14:paraId="46DA0DEC" w14:textId="77777777">
      <w:pPr>
        <w:pStyle w:val="NormalHanging12a"/>
        <w:rPr>
          <w:rFonts w:eastAsia="Aptos"/>
          <w:kern w:val="2"/>
          <w14:ligatures w14:val="standardContextual"/>
        </w:rPr>
      </w:pPr>
      <w:r w:rsidRPr="00A308DC">
        <w:t>8.</w:t>
      </w:r>
      <w:r w:rsidRPr="00A308DC">
        <w:tab/>
        <w:t xml:space="preserve">подчертава, че тези враждебни действия се утежняват от агресивна кампания за дезинформация, целяща да сплашва местното население, да всява страх, да вреди на местните икономики и да положи основите за евентуални ответни действия, както в случая с неоснователните твърдения на Русия, че балтийските държави позволяват на Украйна да използва техните територии и въздушно пространство за нападения с </w:t>
      </w:r>
      <w:r w:rsidRPr="00A308DC">
        <w:t>дронове</w:t>
      </w:r>
      <w:r w:rsidRPr="00A308DC">
        <w:t xml:space="preserve"> срещу цели в Русия;</w:t>
      </w:r>
    </w:p>
    <w:p w:rsidR="00CE0D13" w:rsidRPr="00A308DC" w:rsidP="00CE0D13" w14:paraId="3654E82F" w14:textId="77777777">
      <w:pPr>
        <w:pStyle w:val="NormalHanging12a"/>
      </w:pPr>
      <w:r w:rsidRPr="00A308DC">
        <w:t>9.</w:t>
      </w:r>
      <w:r w:rsidRPr="00A308DC">
        <w:tab/>
        <w:t>отново призовава за спешното създаване на истински Европейски съюз за отбрана, включително предложения за бързи процедури за вземане на решения, който да надхвърля съществуващите рамки, включително Бялата книга за европейската отбранителна готовност до 2030 г. и последващата Пътна карта за отбранителна готовност; подчертава, че по-задълбочената интеграция, координация и обединяване на ресурсите са абсолютно необходимо условие за ефективна реакция от страна на ЕС спрямо ескалиращите заплахи от страна на Русия; призовава за укрепване на европейската отбранителна технологична и индустриална база и нейния производствен капацитет в целия ЕС чрез засилена координация на равнището на ЕС, като се увеличи максимално използването на националните инициативи и инструментите на ЕС;</w:t>
      </w:r>
    </w:p>
    <w:p w:rsidR="00CE0D13" w:rsidRPr="00A308DC" w:rsidP="00CE0D13" w14:paraId="725C178E" w14:textId="77777777">
      <w:pPr>
        <w:pStyle w:val="NormalHanging12a"/>
        <w:rPr>
          <w:rFonts w:eastAsia="Aptos"/>
          <w:kern w:val="2"/>
          <w14:ligatures w14:val="standardContextual"/>
        </w:rPr>
      </w:pPr>
      <w:r w:rsidRPr="00A308DC">
        <w:t>10.</w:t>
      </w:r>
      <w:r w:rsidRPr="00A308DC">
        <w:tab/>
        <w:t>призовава клаузата за солидарност (член 222 от Договора за функционирането на Европейския съюз) и клаузата за взаимопомощ (член 42, параграф 7 от Договора за Европейския съюз) да бъдат прилагани в по-голяма степен, включително в случаи, когато конвенционално или хибридно нападение накара дадена държава членка да ги задейства;</w:t>
      </w:r>
    </w:p>
    <w:p w:rsidR="00CE0D13" w:rsidRPr="00A308DC" w:rsidP="00CE0D13" w14:paraId="5200A389" w14:textId="77777777">
      <w:pPr>
        <w:pStyle w:val="NormalHanging12a"/>
      </w:pPr>
      <w:r w:rsidRPr="00A308DC">
        <w:t>11.</w:t>
      </w:r>
      <w:r w:rsidRPr="00A308DC">
        <w:tab/>
        <w:t xml:space="preserve">подчертава необходимостта от съгласувано укрепване на източния фланг на ЕС и НАТО по цялата му дължина от Арктика до Черно море, включително сухоземните, морските и въздушните измерения, чрез изграждане на способности в държавите членки на първа линия за противодействие на </w:t>
      </w:r>
      <w:r w:rsidRPr="00A308DC">
        <w:t>дронове</w:t>
      </w:r>
      <w:r w:rsidRPr="00A308DC">
        <w:t xml:space="preserve"> и метеорологични балони и чрез заделяне на достатъчни ресурси за тази цел; призовава ЕС и неговите държави членки спешно да засилят способностите си за откриване, заглушаване, прихващане и неутрализиране по източния фланг на ЕС; освен това призовава за редовни съвместни учения с участието на държавите членки, институциите на ЕС, Украйна и НАТО с цел изпитване и подобряване на готовността на тези механизми за бързо реагиране;</w:t>
      </w:r>
    </w:p>
    <w:p w:rsidR="00CE0D13" w:rsidRPr="00A308DC" w:rsidP="00CE0D13" w14:paraId="7D8EAFD5" w14:textId="77777777">
      <w:pPr>
        <w:pStyle w:val="NormalHanging12a"/>
        <w:rPr>
          <w:rFonts w:eastAsia="Aptos"/>
          <w:kern w:val="2"/>
          <w14:ligatures w14:val="standardContextual"/>
        </w:rPr>
      </w:pPr>
      <w:r w:rsidRPr="00A308DC">
        <w:t>12.</w:t>
      </w:r>
      <w:r w:rsidRPr="00A308DC">
        <w:tab/>
        <w:t>препоръчва интегрирането на способностите за борба с безпилотните летателни системи (C-UAS) в съвместни учения и планиране на гражданската защита на равнището на ЕС с акцент върху критичната инфраструктура, като се предостави възможност на полицията, летищните органи и операторите в енергийния сектор да получават достъп до обучение и стандартизирани C-UAS способности в целия ЕС;</w:t>
      </w:r>
    </w:p>
    <w:p w:rsidR="00CE0D13" w:rsidRPr="00A308DC" w:rsidP="00CE0D13" w14:paraId="65FC8240" w14:textId="77777777">
      <w:pPr>
        <w:pStyle w:val="NormalHanging12a"/>
      </w:pPr>
      <w:r w:rsidRPr="00A308DC">
        <w:t>13.</w:t>
      </w:r>
      <w:r w:rsidRPr="00A308DC">
        <w:tab/>
        <w:t xml:space="preserve">подчертава със загриженост, че настоящите европейски системи за откриване на </w:t>
      </w:r>
      <w:r w:rsidRPr="00A308DC">
        <w:t>дронове</w:t>
      </w:r>
      <w:r w:rsidRPr="00A308DC">
        <w:t xml:space="preserve"> и защита от тях са неподходящи, и подчертава спешната необходимост от подобряване на откриването и защитата; подчертава в този контекст необходимостта от цялостен подход, съсредоточен върху по-доброто оборудване на правоприлагащите и гражданските органи със средства за откриване на </w:t>
      </w:r>
      <w:r w:rsidRPr="00A308DC">
        <w:t>дронове</w:t>
      </w:r>
      <w:r w:rsidRPr="00A308DC">
        <w:t xml:space="preserve"> и за защита от тях;</w:t>
      </w:r>
    </w:p>
    <w:p w:rsidR="00CE0D13" w:rsidRPr="00A308DC" w:rsidP="00CE0D13" w14:paraId="231DC577" w14:textId="77777777">
      <w:pPr>
        <w:pStyle w:val="NormalHanging12a"/>
        <w:rPr>
          <w:rFonts w:eastAsia="Aptos"/>
          <w:kern w:val="2"/>
          <w14:ligatures w14:val="standardContextual"/>
        </w:rPr>
      </w:pPr>
      <w:r w:rsidRPr="00A308DC">
        <w:t>14.</w:t>
      </w:r>
      <w:r w:rsidRPr="00A308DC">
        <w:tab/>
        <w:t>насърчава държавите членки да отдават приоритет на интегрирането на системите за командване и контрол и лицата, оказващи първа помощ, доктрините за гражданска отбрана и отбрана срещу БЛС, за да се гарантира, че гражданската подготвеност, осигуряването на убежища, ранното предупреждение и технологичната интеграция са оптимизирани във възможно най-голяма степен;</w:t>
      </w:r>
    </w:p>
    <w:p w:rsidR="00CE0D13" w:rsidRPr="00A308DC" w:rsidP="00CE0D13" w14:paraId="482D3581" w14:textId="77777777">
      <w:pPr>
        <w:pStyle w:val="NormalHanging12a"/>
      </w:pPr>
      <w:r w:rsidRPr="00A308DC">
        <w:t>15.</w:t>
      </w:r>
      <w:r w:rsidRPr="00A308DC">
        <w:tab/>
        <w:t>подчертава, че случаите на умишлено неразрешено навлизане от страна на Русия по източния фланг на ЕС и НАТО имат за цел не само да провокират и дестабилизират държавите членки, но и да изпробват и използват слабостите в способностите на НАТО за откриване и реагиране; признава, че Русия продължава дестабилизиращите си дейности в Черноморския регион както чрез конвенционални, така и чрез хибридни действия, включително чрез използването на плаващи мини, операции за заглушаване и заплахи за свободата на корабоплаването, като превръща укрепването на сигурността в този регион в стратегически приоритет, на който трябва спешно да се обърне внимание като заплаха за европейската сигурност;</w:t>
      </w:r>
    </w:p>
    <w:p w:rsidR="00CE0D13" w:rsidRPr="00A308DC" w:rsidP="00CE0D13" w14:paraId="096A7673" w14:textId="77777777">
      <w:pPr>
        <w:pStyle w:val="NormalHanging12a"/>
      </w:pPr>
      <w:r w:rsidRPr="00A308DC">
        <w:t>16.</w:t>
      </w:r>
      <w:r w:rsidRPr="00A308DC">
        <w:tab/>
        <w:t>призовава за пълно прилагане на стратегическия подход на ЕС към Черно море и за ускоряване на създаването на Черноморски център за морска сигурност;</w:t>
      </w:r>
    </w:p>
    <w:p w:rsidR="00CE0D13" w:rsidRPr="00A308DC" w:rsidP="00CE0D13" w14:paraId="544ED26C" w14:textId="77777777">
      <w:pPr>
        <w:pStyle w:val="NormalHanging12a"/>
      </w:pPr>
      <w:r w:rsidRPr="00A308DC">
        <w:t>17.</w:t>
      </w:r>
      <w:r w:rsidRPr="00A308DC">
        <w:tab/>
        <w:t xml:space="preserve">приветства неотдавнашното одобрение на 20-ия пакет от санкции на ЕС срещу Русия и представянето на 21-вия пакет от санкции; призовава Комисията, пратеника на ЕС за санкциите и държавите членки стриктно да прилагат новите и вече съществуващите санкции и незабавно да отдадат приоритет на отстраняването на пропуските във веригите на доставки; призовава Комисията незабавно да разработи допълнителни санкции, включително санкции по отношение на </w:t>
      </w:r>
      <w:r w:rsidRPr="00A308DC">
        <w:t>диалуминиевия</w:t>
      </w:r>
      <w:r w:rsidRPr="00A308DC">
        <w:t xml:space="preserve"> </w:t>
      </w:r>
      <w:r w:rsidRPr="00A308DC">
        <w:t>триоксид</w:t>
      </w:r>
      <w:r w:rsidRPr="00A308DC">
        <w:t xml:space="preserve"> и други стратегически суровини и изделия с двойна употреба, и настоятелно призовава всички държави членки да не блокират този евентуален списък въз основа на национален икономически интерес; подкрепя предприемането на допълнителни мерки за предстоящия пакет от санкции, насочени срещу енергийния и финансовия сектор на Руската федерация, както и забраната за влизане в ЕС на бивши руски бойци, които са се сражавали в Украйна, и призовава държавите членки, които продължават да подкрепят Руската федерация, да прекратят тази подкрепа;</w:t>
      </w:r>
    </w:p>
    <w:p w:rsidR="00CE0D13" w:rsidRPr="00A308DC" w:rsidP="00CE0D13" w14:paraId="6EEB5F5C" w14:textId="77777777">
      <w:pPr>
        <w:pStyle w:val="NormalHanging12a"/>
      </w:pPr>
      <w:r w:rsidRPr="00A308DC">
        <w:t>18.</w:t>
      </w:r>
      <w:r w:rsidRPr="00A308DC">
        <w:tab/>
        <w:t>призовава държавите членки, по-специално тези, които издават по-голямата част от визите за руски граждани, да прилагат стриктно Решението за изпълнение на Комисията от 6 ноември 2025 г. за установяване на адаптирани правила относно издаването на многократни визи на руски граждани, пребиваващи в Руската федерация и кандидатстващи в Руската федерация за визи за краткосрочно пребиваване</w:t>
      </w:r>
      <w:r>
        <w:rPr>
          <w:rStyle w:val="FootnoteReference"/>
        </w:rPr>
        <w:footnoteReference w:id="4"/>
      </w:r>
      <w:r w:rsidRPr="00A308DC">
        <w:t>, и да прилагат изцяло насоките на Комисията от 2022 г. относно засиления контрол, особено за туристически и други неналожителни пътувания, като същевременно гарантират достъпа на антимилитаристки политически активисти, независими журналисти, защитници на правата на човека, представители на гражданското общество и в хуманитарни случаи;</w:t>
      </w:r>
    </w:p>
    <w:p w:rsidR="00CE0D13" w:rsidRPr="00A308DC" w:rsidP="00CE0D13" w14:paraId="56B63C5D" w14:textId="1F9259CD">
      <w:pPr>
        <w:pStyle w:val="NormalHanging12a"/>
        <w:rPr>
          <w:rFonts w:eastAsia="Aptos"/>
          <w:kern w:val="2"/>
          <w14:ligatures w14:val="standardContextual"/>
        </w:rPr>
      </w:pPr>
      <w:r w:rsidRPr="00A308DC">
        <w:t>19.</w:t>
      </w:r>
      <w:r w:rsidRPr="00A308DC">
        <w:tab/>
        <w:t xml:space="preserve">призовава за създаването на хоризонтална рамка на ЕС за санкциите, специално разработена за хибридните </w:t>
      </w:r>
      <w:bookmarkStart w:id="7" w:name="_Hlk232495892"/>
      <w:r w:rsidRPr="00A308DC">
        <w:t>заплахи, която да съществува успоредно с хибридния режим на санкции за Русия,</w:t>
      </w:r>
      <w:bookmarkEnd w:id="7"/>
      <w:r w:rsidRPr="00A308DC">
        <w:t xml:space="preserve"> за да се подчертае активното участие на Русия в хибридни операции в световен мащаб, като същевременно се даде възможност за по-бързо и по-систематично санкциониране на субектите, отговорни за хибридни кампании;</w:t>
      </w:r>
      <w:r w:rsidR="00FC416C">
        <w:t xml:space="preserve"> </w:t>
      </w:r>
      <w:r w:rsidRPr="00FC416C" w:rsidR="00FC416C">
        <w:t xml:space="preserve">припомня, че някои лица, сред които Ксения </w:t>
      </w:r>
      <w:r w:rsidRPr="00FC416C" w:rsidR="00FC416C">
        <w:t>Федорова</w:t>
      </w:r>
      <w:r w:rsidRPr="00FC416C" w:rsidR="00FC416C">
        <w:t xml:space="preserve"> във Франция, които са работили за руски пропагандни медии, подложени на санкции, като нап</w:t>
      </w:r>
      <w:r w:rsidRPr="009C3CFB" w:rsidR="00FC416C">
        <w:t>ример RT, продължават</w:t>
      </w:r>
      <w:r w:rsidRPr="00FC416C" w:rsidR="00FC416C">
        <w:t xml:space="preserve"> да разпространяват дезинформация в Европа; призовава те да бъдат включени в списъка на лицата, подложени на санкции, в следващия пакет от санкции;</w:t>
      </w:r>
    </w:p>
    <w:p w:rsidR="00CE0D13" w:rsidRPr="00A308DC" w:rsidP="00CE0D13" w14:paraId="2836A403" w14:textId="77777777">
      <w:pPr>
        <w:pStyle w:val="NormalHanging12a"/>
        <w:rPr>
          <w:rFonts w:eastAsia="Aptos"/>
          <w:kern w:val="2"/>
          <w14:ligatures w14:val="standardContextual"/>
        </w:rPr>
      </w:pPr>
      <w:bookmarkStart w:id="8" w:name="_Hlk232495916"/>
      <w:r w:rsidRPr="00A308DC">
        <w:t>20.</w:t>
      </w:r>
      <w:r w:rsidRPr="00A308DC">
        <w:tab/>
        <w:t xml:space="preserve">призовава ЕС и неговите държави членки да осигурят подходящо финансиране за изграждането и обновяването на гражданските </w:t>
      </w:r>
      <w:r w:rsidRPr="00A308DC">
        <w:t>бомбоубежища</w:t>
      </w:r>
      <w:r w:rsidRPr="00A308DC">
        <w:t xml:space="preserve"> в държавите членки по източния фланг и други държави – членки на ЕС, и да провеждат информационни кампании и граждански учения в целия ЕС, за да информират гражданите как да действат в случай на въздушно нападение или подобна кризисна ситуация</w:t>
      </w:r>
      <w:bookmarkEnd w:id="8"/>
      <w:r w:rsidRPr="00A308DC">
        <w:t xml:space="preserve">; счита, че защитата на цивилното население на ЕС от въздушни заплахи трябва да се разглежда като неразделна част от европейската отбранителна готовност, подготвеност и устойчивост; подчертава спешната необходимост от увеличаване на финансирането за програми и проекти в областта на сигурността и отбраната, със специален акцент върху държавите от източния фланг, в следващата многогодишна финансова рамка; призовава ЕС и неговите държави членки да възприемат всеобхватен подход, включващ цялото общество, </w:t>
      </w:r>
      <w:r w:rsidRPr="00A308DC">
        <w:t>като признание за това, че за трайната сигурност са необходими не само подходящи военни способности, но и социално сближаване, икономическа устойчивост, демократична стабилност и силни обществени услуги;</w:t>
      </w:r>
    </w:p>
    <w:p w:rsidR="00CE0D13" w:rsidRPr="00A308DC" w:rsidP="00CE0D13" w14:paraId="533ED3F7" w14:textId="77777777">
      <w:pPr>
        <w:pStyle w:val="NormalHanging12a"/>
        <w:rPr>
          <w:rFonts w:eastAsia="Aptos"/>
          <w:kern w:val="2"/>
          <w14:ligatures w14:val="standardContextual"/>
        </w:rPr>
      </w:pPr>
      <w:r w:rsidRPr="00A308DC">
        <w:t>21.</w:t>
      </w:r>
      <w:r w:rsidRPr="00A308DC">
        <w:tab/>
        <w:t xml:space="preserve">подчертава, че Украйна е развила безпрецедентен оперативен и промишлен експертен опит в производството на </w:t>
      </w:r>
      <w:r w:rsidRPr="00A308DC">
        <w:t>дронове</w:t>
      </w:r>
      <w:r w:rsidRPr="00A308DC">
        <w:t xml:space="preserve"> и на системи за противодействие на </w:t>
      </w:r>
      <w:r w:rsidRPr="00A308DC">
        <w:t>дронове</w:t>
      </w:r>
      <w:r w:rsidRPr="00A308DC">
        <w:t>; поради това счита, че задълбочаването на сътрудничеството между ЕС и Украйна в сферата на отбранителната промишленост в тази област е стратегически императив; призовава ЕС и неговите държави членки да интегрират изцяло украинския експертен опит и промишлен капацитет в развитието на европейските способности за противодействие на неконвенционалните въздушни заплахи;</w:t>
      </w:r>
    </w:p>
    <w:p w:rsidR="00CE0D13" w:rsidRPr="00A308DC" w:rsidP="00CE0D13" w14:paraId="2C569282" w14:textId="77777777">
      <w:pPr>
        <w:pStyle w:val="NormalHanging12a"/>
      </w:pPr>
      <w:r w:rsidRPr="00A308DC">
        <w:t>22.</w:t>
      </w:r>
      <w:r w:rsidRPr="00A308DC">
        <w:tab/>
        <w:t xml:space="preserve">подчертава, че в рамките на противодействието на заплахите от </w:t>
      </w:r>
      <w:r w:rsidRPr="00A308DC">
        <w:t>дронове</w:t>
      </w:r>
      <w:r w:rsidRPr="00A308DC">
        <w:t xml:space="preserve">, идващи от Русия, сътрудничеството с Република Молдова — заедно с Украйна — е от съществено значение по отношение на оперативната ефективност, ситуационната осведоменост и обмена на информация; поради това призовава държавите членки да увеличат финансирането за Молдова чрез Европейския механизъм за подкрепа на мира, също и с оглед на многократното нарушаване на молдовското въздушно пространство от руски </w:t>
      </w:r>
      <w:r w:rsidRPr="00A308DC">
        <w:t>дронове</w:t>
      </w:r>
      <w:r w:rsidRPr="00A308DC">
        <w:t xml:space="preserve"> и ракети; освен това призовава държавите членки да включат Молдова и Украйна в съвместните покупки;</w:t>
      </w:r>
    </w:p>
    <w:p w:rsidR="00CE0D13" w:rsidRPr="00A308DC" w:rsidP="00CE0D13" w14:paraId="103F4EA9" w14:textId="77777777">
      <w:pPr>
        <w:pStyle w:val="NormalHanging12a"/>
        <w:rPr>
          <w:rFonts w:eastAsia="Aptos"/>
          <w:kern w:val="2"/>
          <w14:ligatures w14:val="standardContextual"/>
        </w:rPr>
      </w:pPr>
      <w:r w:rsidRPr="00A308DC">
        <w:t>23.</w:t>
      </w:r>
      <w:r w:rsidRPr="00A308DC">
        <w:tab/>
        <w:t xml:space="preserve">призовава държавите членки спешно да осигурят приоритетните способности, набелязани в Бялата книга за европейската отбранителна готовност до 2030 г., и по-специално въздушната и противоракетната отбрана, както и </w:t>
      </w:r>
      <w:r w:rsidRPr="00A308DC">
        <w:t>дронове</w:t>
      </w:r>
      <w:r w:rsidRPr="00A308DC">
        <w:t xml:space="preserve"> и системи за противодействие на </w:t>
      </w:r>
      <w:r w:rsidRPr="00A308DC">
        <w:t>дронове</w:t>
      </w:r>
      <w:r w:rsidRPr="00A308DC">
        <w:t xml:space="preserve">; </w:t>
      </w:r>
      <w:r w:rsidRPr="00A308DC">
        <w:rPr>
          <w:rStyle w:val="normaltextrun"/>
          <w:color w:val="000000"/>
        </w:rPr>
        <w:t xml:space="preserve">призовава за бързото създаване на съвместни, многопластови системи за защита срещу </w:t>
      </w:r>
      <w:r w:rsidRPr="00A308DC">
        <w:rPr>
          <w:rStyle w:val="normaltextrun"/>
          <w:color w:val="000000"/>
        </w:rPr>
        <w:t>дронове</w:t>
      </w:r>
      <w:r w:rsidRPr="00A308DC">
        <w:rPr>
          <w:rStyle w:val="normaltextrun"/>
          <w:color w:val="000000"/>
        </w:rPr>
        <w:t>, като се започне от източния фланг, които да могат да откриват и да прихващат заплахи по въздуха и по море, идващи от държави извън ЕС,</w:t>
      </w:r>
      <w:r w:rsidRPr="00A308DC">
        <w:t xml:space="preserve"> включително чрез засилено въздушно и морско наблюдение, системи за ранно предупреждение, активи за бързо реагиране и подобрена инфраструктура за военна мобилност</w:t>
      </w:r>
      <w:r w:rsidRPr="00A308DC">
        <w:rPr>
          <w:rStyle w:val="normaltextrun"/>
          <w:color w:val="000000"/>
        </w:rPr>
        <w:t>;</w:t>
      </w:r>
    </w:p>
    <w:p w:rsidR="00CE0D13" w:rsidRPr="00A308DC" w:rsidP="00CE0D13" w14:paraId="67B95D2B" w14:textId="77777777">
      <w:pPr>
        <w:pStyle w:val="NormalHanging12a"/>
        <w:rPr>
          <w:rFonts w:eastAsia="Aptos"/>
          <w:kern w:val="2"/>
          <w14:ligatures w14:val="standardContextual"/>
        </w:rPr>
      </w:pPr>
      <w:r w:rsidRPr="00A308DC">
        <w:t>24.</w:t>
      </w:r>
      <w:r w:rsidRPr="00A308DC">
        <w:tab/>
        <w:t xml:space="preserve">призовава за създаването на Европейски център за високи постижения за водене на военни действия с </w:t>
      </w:r>
      <w:r w:rsidRPr="00A308DC">
        <w:t>дронове</w:t>
      </w:r>
      <w:r w:rsidRPr="00A308DC">
        <w:t>, където украински инструктори да предават своя експертен опит на държавите членки;</w:t>
      </w:r>
    </w:p>
    <w:p w:rsidR="00CE0D13" w:rsidRPr="00A308DC" w:rsidP="00CE0D13" w14:paraId="4D38282A" w14:textId="77777777">
      <w:pPr>
        <w:pStyle w:val="NormalHanging12a"/>
        <w:rPr>
          <w:rFonts w:eastAsia="Aptos"/>
          <w:kern w:val="2"/>
          <w14:ligatures w14:val="standardContextual"/>
        </w:rPr>
      </w:pPr>
      <w:r w:rsidRPr="00A308DC">
        <w:t>25.</w:t>
      </w:r>
      <w:r w:rsidRPr="00A308DC">
        <w:tab/>
        <w:t>призовава за пълно и бързо прилагане на Европейската инициатива за защита от безпилотни летателни апарати и на инициативата „Бдителност по източния фланг“; призовава държавите членки да участват активно и да допринасят за двете инициативи в тясна координация с НАТО;</w:t>
      </w:r>
    </w:p>
    <w:p w:rsidR="00A308DC" w:rsidRPr="00A308DC" w:rsidP="00A308DC" w14:paraId="7E69C286" w14:textId="70A2E35F">
      <w:pPr>
        <w:pStyle w:val="NormalHanging12a"/>
      </w:pPr>
      <w:r w:rsidRPr="00A308DC">
        <w:t xml:space="preserve">26. </w:t>
      </w:r>
      <w:r w:rsidRPr="00A308DC">
        <w:tab/>
        <w:t xml:space="preserve">възлага на своя председател да предаде настоящата резолюция съответно на Съвета, Комисията, правителствата и парламентите на държавите членки, генералния секретар на НАТО, ЮНЕСКО, Организацията за сигурност и сътрудничество в Европа, Съвета на Европа, президента, правителството и Върховната рада на Украйна, руските органи и </w:t>
      </w:r>
      <w:r w:rsidRPr="00A308DC">
        <w:rPr>
          <w:i/>
          <w:iCs/>
        </w:rPr>
        <w:t>de</w:t>
      </w:r>
      <w:r w:rsidRPr="00A308DC">
        <w:rPr>
          <w:i/>
          <w:iCs/>
        </w:rPr>
        <w:t xml:space="preserve"> </w:t>
      </w:r>
      <w:r w:rsidRPr="00A308DC">
        <w:rPr>
          <w:i/>
          <w:iCs/>
        </w:rPr>
        <w:t>facto</w:t>
      </w:r>
      <w:r w:rsidRPr="00A308DC">
        <w:t xml:space="preserve"> държавните органи на режима на Лукашенко.</w:t>
      </w:r>
    </w:p>
    <w:p w:rsidR="00E365E1" w:rsidRPr="00A308DC" w:rsidP="00CE0D13" w14:paraId="55BE81F9" w14:textId="5EB60869"/>
    <w:sectPr w:rsidSect="00A308D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13941E2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58AE919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741A31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2C36" w:rsidRPr="00A308DC" w14:paraId="797C924F" w14:textId="77777777">
      <w:r w:rsidRPr="00A308DC">
        <w:separator/>
      </w:r>
    </w:p>
  </w:footnote>
  <w:footnote w:type="continuationSeparator" w:id="1">
    <w:p w:rsidR="00C22C36" w:rsidRPr="00A308DC" w14:paraId="6BD6CC8F" w14:textId="77777777">
      <w:r w:rsidRPr="00A308DC">
        <w:continuationSeparator/>
      </w:r>
    </w:p>
  </w:footnote>
  <w:footnote w:id="2">
    <w:p w:rsidR="00CE0D13" w:rsidRPr="00A308DC" w:rsidP="00A308DC" w14:paraId="70EA373B" w14:textId="238AC805">
      <w:pPr>
        <w:pStyle w:val="FootnoteText"/>
        <w:ind w:left="567" w:hanging="567"/>
        <w:rPr>
          <w:sz w:val="24"/>
          <w:lang w:val="bg-BG"/>
        </w:rPr>
      </w:pPr>
      <w:r w:rsidRPr="00A308DC">
        <w:rPr>
          <w:rStyle w:val="FootnoteReference"/>
          <w:sz w:val="24"/>
          <w:lang w:val="bg-BG"/>
        </w:rPr>
        <w:footnoteRef/>
      </w:r>
      <w:r w:rsidRPr="00A308DC" w:rsidR="00A308DC">
        <w:rPr>
          <w:sz w:val="24"/>
          <w:lang w:val="bg-BG"/>
        </w:rPr>
        <w:t xml:space="preserve"> </w:t>
      </w:r>
      <w:r w:rsidRPr="00A308DC" w:rsidR="00A308DC">
        <w:rPr>
          <w:sz w:val="24"/>
          <w:lang w:val="bg-BG"/>
        </w:rPr>
        <w:tab/>
      </w:r>
      <w:r w:rsidRPr="00A308DC">
        <w:rPr>
          <w:sz w:val="24"/>
          <w:lang w:val="bg-BG"/>
        </w:rPr>
        <w:t xml:space="preserve">ОВ C, C/2026/1530, 15.4.2026 г., ELI: </w:t>
      </w:r>
      <w:hyperlink r:id="rId1" w:history="1">
        <w:r w:rsidRPr="00A308DC">
          <w:rPr>
            <w:rStyle w:val="Hyperlink"/>
            <w:sz w:val="24"/>
            <w:lang w:val="bg-BG"/>
          </w:rPr>
          <w:t>http://data.europa.eu/eli/C/2026/1530/oj</w:t>
        </w:r>
      </w:hyperlink>
      <w:r w:rsidRPr="00A308DC">
        <w:rPr>
          <w:sz w:val="24"/>
          <w:lang w:val="bg-BG"/>
        </w:rPr>
        <w:t xml:space="preserve">. </w:t>
      </w:r>
    </w:p>
  </w:footnote>
  <w:footnote w:id="3">
    <w:p w:rsidR="00CE0D13" w:rsidRPr="00A308DC" w:rsidP="00A308DC" w14:paraId="6455BF14" w14:textId="0535AC34">
      <w:pPr>
        <w:pStyle w:val="FootnoteText"/>
        <w:ind w:left="567" w:hanging="567"/>
        <w:rPr>
          <w:sz w:val="24"/>
          <w:lang w:val="bg-BG"/>
        </w:rPr>
      </w:pPr>
      <w:r w:rsidRPr="00A308DC">
        <w:rPr>
          <w:rStyle w:val="FootnoteReference"/>
          <w:sz w:val="24"/>
          <w:lang w:val="bg-BG"/>
        </w:rPr>
        <w:footnoteRef/>
      </w:r>
      <w:r w:rsidRPr="00A308DC" w:rsidR="00A308DC">
        <w:rPr>
          <w:sz w:val="24"/>
          <w:lang w:val="bg-BG"/>
        </w:rPr>
        <w:t xml:space="preserve"> </w:t>
      </w:r>
      <w:r w:rsidRPr="00A308DC" w:rsidR="00A308DC">
        <w:rPr>
          <w:sz w:val="24"/>
          <w:lang w:val="bg-BG"/>
        </w:rPr>
        <w:tab/>
      </w:r>
      <w:r w:rsidRPr="00A308DC">
        <w:rPr>
          <w:sz w:val="24"/>
          <w:lang w:val="bg-BG"/>
        </w:rPr>
        <w:t xml:space="preserve">OВ C, C/2025/3151, 20.6.2025 г., ELI: </w:t>
      </w:r>
      <w:hyperlink r:id="rId2" w:history="1">
        <w:r w:rsidRPr="00A308DC">
          <w:rPr>
            <w:rStyle w:val="Hyperlink"/>
            <w:sz w:val="24"/>
            <w:lang w:val="bg-BG"/>
          </w:rPr>
          <w:t>http://data.europa.eu/eli/C/2025/3151/oj</w:t>
        </w:r>
      </w:hyperlink>
      <w:r w:rsidRPr="00A308DC">
        <w:rPr>
          <w:sz w:val="24"/>
          <w:lang w:val="bg-BG"/>
        </w:rPr>
        <w:t>.</w:t>
      </w:r>
    </w:p>
  </w:footnote>
  <w:footnote w:id="4">
    <w:p w:rsidR="00CE0D13" w:rsidRPr="00A308DC" w:rsidP="00A308DC" w14:paraId="48904ACA" w14:textId="08F047D9">
      <w:pPr>
        <w:pStyle w:val="FootnoteText"/>
        <w:ind w:left="567" w:hanging="567"/>
        <w:rPr>
          <w:sz w:val="24"/>
          <w:lang w:val="bg-BG"/>
        </w:rPr>
      </w:pPr>
      <w:r w:rsidRPr="00A308DC">
        <w:rPr>
          <w:rStyle w:val="FootnoteReference"/>
          <w:sz w:val="24"/>
          <w:lang w:val="bg-BG"/>
        </w:rPr>
        <w:footnoteRef/>
      </w:r>
      <w:r w:rsidRPr="00A308DC" w:rsidR="00A308DC">
        <w:rPr>
          <w:sz w:val="24"/>
          <w:lang w:val="bg-BG"/>
        </w:rPr>
        <w:t xml:space="preserve"> </w:t>
      </w:r>
      <w:r w:rsidRPr="00A308DC" w:rsidR="00A308DC">
        <w:rPr>
          <w:sz w:val="24"/>
          <w:lang w:val="bg-BG"/>
        </w:rPr>
        <w:tab/>
      </w:r>
      <w:r w:rsidRPr="00A308DC">
        <w:rPr>
          <w:sz w:val="24"/>
          <w:lang w:val="bg-BG"/>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06218E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2ED7BE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08DC" w14:paraId="76D76F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632795">
    <w:abstractNumId w:val="9"/>
  </w:num>
  <w:num w:numId="2" w16cid:durableId="2073112164">
    <w:abstractNumId w:val="9"/>
  </w:num>
  <w:num w:numId="3" w16cid:durableId="1434938146">
    <w:abstractNumId w:val="7"/>
  </w:num>
  <w:num w:numId="4" w16cid:durableId="1921254981">
    <w:abstractNumId w:val="7"/>
  </w:num>
  <w:num w:numId="5" w16cid:durableId="1859392228">
    <w:abstractNumId w:val="6"/>
  </w:num>
  <w:num w:numId="6" w16cid:durableId="2088260915">
    <w:abstractNumId w:val="6"/>
  </w:num>
  <w:num w:numId="7" w16cid:durableId="1008487108">
    <w:abstractNumId w:val="5"/>
  </w:num>
  <w:num w:numId="8" w16cid:durableId="487788772">
    <w:abstractNumId w:val="5"/>
  </w:num>
  <w:num w:numId="9" w16cid:durableId="1514799356">
    <w:abstractNumId w:val="4"/>
  </w:num>
  <w:num w:numId="10" w16cid:durableId="751438300">
    <w:abstractNumId w:val="4"/>
  </w:num>
  <w:num w:numId="11" w16cid:durableId="773786473">
    <w:abstractNumId w:val="8"/>
  </w:num>
  <w:num w:numId="12" w16cid:durableId="1384139356">
    <w:abstractNumId w:val="8"/>
  </w:num>
  <w:num w:numId="13" w16cid:durableId="178201020">
    <w:abstractNumId w:val="3"/>
  </w:num>
  <w:num w:numId="14" w16cid:durableId="382945347">
    <w:abstractNumId w:val="3"/>
  </w:num>
  <w:num w:numId="15" w16cid:durableId="513493004">
    <w:abstractNumId w:val="2"/>
  </w:num>
  <w:num w:numId="16" w16cid:durableId="376860936">
    <w:abstractNumId w:val="2"/>
  </w:num>
  <w:num w:numId="17" w16cid:durableId="30765318">
    <w:abstractNumId w:val="1"/>
  </w:num>
  <w:num w:numId="18" w16cid:durableId="758134639">
    <w:abstractNumId w:val="1"/>
  </w:num>
  <w:num w:numId="19" w16cid:durableId="1397897273">
    <w:abstractNumId w:val="0"/>
  </w:num>
  <w:num w:numId="20" w16cid:durableId="1459373117">
    <w:abstractNumId w:val="0"/>
  </w:num>
  <w:num w:numId="21" w16cid:durableId="718554164">
    <w:abstractNumId w:val="9"/>
  </w:num>
  <w:num w:numId="22" w16cid:durableId="200096782">
    <w:abstractNumId w:val="7"/>
  </w:num>
  <w:num w:numId="23" w16cid:durableId="747339679">
    <w:abstractNumId w:val="6"/>
  </w:num>
  <w:num w:numId="24" w16cid:durableId="236480370">
    <w:abstractNumId w:val="5"/>
  </w:num>
  <w:num w:numId="25" w16cid:durableId="997146200">
    <w:abstractNumId w:val="4"/>
  </w:num>
  <w:num w:numId="26" w16cid:durableId="496962739">
    <w:abstractNumId w:val="8"/>
  </w:num>
  <w:num w:numId="27" w16cid:durableId="2070415200">
    <w:abstractNumId w:val="3"/>
  </w:num>
  <w:num w:numId="28" w16cid:durableId="577595177">
    <w:abstractNumId w:val="2"/>
  </w:num>
  <w:num w:numId="29" w16cid:durableId="1550647448">
    <w:abstractNumId w:val="1"/>
  </w:num>
  <w:num w:numId="30" w16cid:durableId="1729181334">
    <w:abstractNumId w:val="0"/>
  </w:num>
  <w:num w:numId="31" w16cid:durableId="25836031">
    <w:abstractNumId w:val="9"/>
  </w:num>
  <w:num w:numId="32" w16cid:durableId="577403803">
    <w:abstractNumId w:val="7"/>
  </w:num>
  <w:num w:numId="33" w16cid:durableId="423186102">
    <w:abstractNumId w:val="6"/>
  </w:num>
  <w:num w:numId="34" w16cid:durableId="1335840210">
    <w:abstractNumId w:val="5"/>
  </w:num>
  <w:num w:numId="35" w16cid:durableId="527253582">
    <w:abstractNumId w:val="4"/>
  </w:num>
  <w:num w:numId="36" w16cid:durableId="749959858">
    <w:abstractNumId w:val="8"/>
  </w:num>
  <w:num w:numId="37" w16cid:durableId="1699623083">
    <w:abstractNumId w:val="3"/>
  </w:num>
  <w:num w:numId="38" w16cid:durableId="1392657041">
    <w:abstractNumId w:val="2"/>
  </w:num>
  <w:num w:numId="39" w16cid:durableId="1167285271">
    <w:abstractNumId w:val="1"/>
  </w:num>
  <w:num w:numId="40" w16cid:durableId="869879347">
    <w:abstractNumId w:val="0"/>
  </w:num>
  <w:num w:numId="41" w16cid:durableId="1937401574">
    <w:abstractNumId w:val="10"/>
  </w:num>
  <w:num w:numId="42" w16cid:durableId="1880583991">
    <w:abstractNumId w:val="10"/>
  </w:num>
  <w:num w:numId="43" w16cid:durableId="1090389200">
    <w:abstractNumId w:val="10"/>
  </w:num>
  <w:num w:numId="44" w16cid:durableId="91513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6A8"/>
    <w:rsid w:val="00471C19"/>
    <w:rsid w:val="004867E3"/>
    <w:rsid w:val="00494A28"/>
    <w:rsid w:val="004C0004"/>
    <w:rsid w:val="004C5D52"/>
    <w:rsid w:val="0050519A"/>
    <w:rsid w:val="005072A1"/>
    <w:rsid w:val="00514517"/>
    <w:rsid w:val="00545827"/>
    <w:rsid w:val="00560270"/>
    <w:rsid w:val="005C2568"/>
    <w:rsid w:val="005F1B17"/>
    <w:rsid w:val="005F5940"/>
    <w:rsid w:val="006037C0"/>
    <w:rsid w:val="00616563"/>
    <w:rsid w:val="006631B6"/>
    <w:rsid w:val="00680577"/>
    <w:rsid w:val="006F74FA"/>
    <w:rsid w:val="00731ADD"/>
    <w:rsid w:val="00734777"/>
    <w:rsid w:val="00747932"/>
    <w:rsid w:val="00751A4A"/>
    <w:rsid w:val="00756632"/>
    <w:rsid w:val="00762C74"/>
    <w:rsid w:val="00786EC0"/>
    <w:rsid w:val="007D1690"/>
    <w:rsid w:val="007E22AD"/>
    <w:rsid w:val="00800BAC"/>
    <w:rsid w:val="00817416"/>
    <w:rsid w:val="00842779"/>
    <w:rsid w:val="00865F67"/>
    <w:rsid w:val="00881A7B"/>
    <w:rsid w:val="008840E5"/>
    <w:rsid w:val="00887B3E"/>
    <w:rsid w:val="008C2AC6"/>
    <w:rsid w:val="00930C23"/>
    <w:rsid w:val="0093193B"/>
    <w:rsid w:val="009509D8"/>
    <w:rsid w:val="00950B64"/>
    <w:rsid w:val="00981893"/>
    <w:rsid w:val="009C3CFB"/>
    <w:rsid w:val="00A1687D"/>
    <w:rsid w:val="00A308DC"/>
    <w:rsid w:val="00A43E52"/>
    <w:rsid w:val="00A4678D"/>
    <w:rsid w:val="00A778C7"/>
    <w:rsid w:val="00A83AEB"/>
    <w:rsid w:val="00AB441E"/>
    <w:rsid w:val="00AB6293"/>
    <w:rsid w:val="00AE0928"/>
    <w:rsid w:val="00AF3B82"/>
    <w:rsid w:val="00B12E95"/>
    <w:rsid w:val="00B22876"/>
    <w:rsid w:val="00B558F0"/>
    <w:rsid w:val="00BD48FE"/>
    <w:rsid w:val="00BD7BD8"/>
    <w:rsid w:val="00BE6ADC"/>
    <w:rsid w:val="00C05BFE"/>
    <w:rsid w:val="00C22C36"/>
    <w:rsid w:val="00C23CD4"/>
    <w:rsid w:val="00C61C0C"/>
    <w:rsid w:val="00C941CB"/>
    <w:rsid w:val="00CC2357"/>
    <w:rsid w:val="00CE0D13"/>
    <w:rsid w:val="00CF071A"/>
    <w:rsid w:val="00D058B8"/>
    <w:rsid w:val="00D56C11"/>
    <w:rsid w:val="00D834A0"/>
    <w:rsid w:val="00D872DF"/>
    <w:rsid w:val="00D91E21"/>
    <w:rsid w:val="00DA7FCD"/>
    <w:rsid w:val="00E365E1"/>
    <w:rsid w:val="00E820A4"/>
    <w:rsid w:val="00E857CA"/>
    <w:rsid w:val="00EB006A"/>
    <w:rsid w:val="00EB4772"/>
    <w:rsid w:val="00ED169E"/>
    <w:rsid w:val="00ED4235"/>
    <w:rsid w:val="00F04346"/>
    <w:rsid w:val="00F075DC"/>
    <w:rsid w:val="00F149E9"/>
    <w:rsid w:val="00F5134D"/>
    <w:rsid w:val="00F74202"/>
    <w:rsid w:val="00F87713"/>
    <w:rsid w:val="00FB4360"/>
    <w:rsid w:val="00FC416C"/>
    <w:rsid w:val="00FD0C70"/>
  </w:rsids>
  <w:docVars>
    <w:docVar w:name="dvdocse" w:val="B10-0304, 0307, 0308, 0309 and 0311/2026"/>
    <w:docVar w:name="dvlangue" w:val="BG"/>
    <w:docVar w:name="dvnumam" w:val="0"/>
    <w:docVar w:name="dvpe" w:val="783.361"/>
    <w:docVar w:name="dvtitre" w:val="Резолюция на Европейския парламент от ... 2026 г. относно неприемливите провокативни действия на Русия и неразрешеното навлизане на дронове във въздушното пространство на Румъния, балтийските държави и Финландия(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EC643D"/>
  <w15:chartTrackingRefBased/>
  <w15:docId w15:val="{4266CBE6-3033-424D-82B9-EBE95DCCD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0D13"/>
    <w:pPr>
      <w:spacing w:after="240"/>
      <w:ind w:left="567" w:hanging="567"/>
    </w:pPr>
  </w:style>
  <w:style w:type="paragraph" w:customStyle="1" w:styleId="EPComma">
    <w:name w:val="EPComma"/>
    <w:basedOn w:val="Normal"/>
    <w:link w:val="EPCommaChar"/>
    <w:rsid w:val="00CE0D13"/>
    <w:pPr>
      <w:spacing w:before="480" w:after="240"/>
    </w:pPr>
  </w:style>
  <w:style w:type="character" w:customStyle="1" w:styleId="EPCommaChar">
    <w:name w:val="EPComma Char"/>
    <w:basedOn w:val="DefaultParagraphFont"/>
    <w:link w:val="EPComma"/>
    <w:rsid w:val="00CE0D13"/>
    <w:rPr>
      <w:sz w:val="24"/>
      <w:lang w:val="bg-BG"/>
    </w:rPr>
  </w:style>
  <w:style w:type="character" w:customStyle="1" w:styleId="normaltextrun">
    <w:name w:val="normaltextrun"/>
    <w:basedOn w:val="DefaultParagraphFont"/>
    <w:rsid w:val="00CE0D13"/>
  </w:style>
  <w:style w:type="character" w:styleId="Hyperlink">
    <w:name w:val="Hyperlink"/>
    <w:basedOn w:val="DefaultParagraphFont"/>
    <w:rsid w:val="00CE0D13"/>
    <w:rPr>
      <w:color w:val="0563C1" w:themeColor="hyperlink"/>
      <w:u w:val="single"/>
    </w:rPr>
  </w:style>
  <w:style w:type="paragraph" w:styleId="Revision">
    <w:name w:val="Revision"/>
    <w:hidden/>
    <w:uiPriority w:val="99"/>
    <w:semiHidden/>
    <w:rsid w:val="00FC416C"/>
    <w:rPr>
      <w:sz w:val="24"/>
      <w:lang w:val="bg-BG"/>
    </w:rPr>
  </w:style>
  <w:style w:type="character" w:styleId="CommentReference">
    <w:name w:val="annotation reference"/>
    <w:basedOn w:val="DefaultParagraphFont"/>
    <w:rsid w:val="00FC416C"/>
    <w:rPr>
      <w:sz w:val="16"/>
      <w:szCs w:val="16"/>
    </w:rPr>
  </w:style>
  <w:style w:type="paragraph" w:styleId="CommentText">
    <w:name w:val="annotation text"/>
    <w:basedOn w:val="Normal"/>
    <w:link w:val="CommentTextChar"/>
    <w:rsid w:val="00FC416C"/>
    <w:rPr>
      <w:sz w:val="20"/>
    </w:rPr>
  </w:style>
  <w:style w:type="character" w:customStyle="1" w:styleId="CommentTextChar">
    <w:name w:val="Comment Text Char"/>
    <w:basedOn w:val="DefaultParagraphFont"/>
    <w:link w:val="CommentText"/>
    <w:rsid w:val="00FC416C"/>
    <w:rPr>
      <w:lang w:val="bg-BG"/>
    </w:rPr>
  </w:style>
  <w:style w:type="paragraph" w:styleId="CommentSubject">
    <w:name w:val="annotation subject"/>
    <w:basedOn w:val="CommentText"/>
    <w:next w:val="CommentText"/>
    <w:link w:val="CommentSubjectChar"/>
    <w:rsid w:val="00FC416C"/>
    <w:rPr>
      <w:b/>
      <w:bCs/>
    </w:rPr>
  </w:style>
  <w:style w:type="character" w:customStyle="1" w:styleId="CommentSubjectChar">
    <w:name w:val="Comment Subject Char"/>
    <w:basedOn w:val="CommentTextChar"/>
    <w:link w:val="CommentSubject"/>
    <w:rsid w:val="00FC416C"/>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3296</Words>
  <Characters>19736</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2026-06-18T13:42:00Z</dcterms:created>
  <dcterms:modified xsi:type="dcterms:W3CDTF">2026-06-18T13:42:00Z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B10-0304, 0307, 0308, 0309 and 0311/2026</vt:lpwstr>
  </property>
  <property fmtid="{D5CDD505-2E9C-101B-9397-08002B2CF9AE}" pid="4" name="&lt;Type&gt;">
    <vt:lpwstr>RR</vt:lpwstr>
  </property>
</Properties>
</file>