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7BE5F5C" w14:textId="77777777" w:rsidTr="0010095E">
        <w:tblPrEx>
          <w:tblW w:w="9072" w:type="dxa"/>
          <w:tblLook w:val="01E0"/>
        </w:tblPrEx>
        <w:trPr>
          <w:trHeight w:hRule="exact" w:val="1418"/>
        </w:trPr>
        <w:tc>
          <w:tcPr>
            <w:tcW w:w="6804" w:type="dxa"/>
            <w:shd w:val="clear" w:color="auto" w:fill="auto"/>
            <w:vAlign w:val="center"/>
          </w:tcPr>
          <w:p w:rsidR="00751A4A" w:rsidRPr="00E23C05" w:rsidP="0010095E" w14:paraId="4A6A8D8C" w14:textId="77777777">
            <w:pPr>
              <w:pStyle w:val="EPName"/>
            </w:pPr>
            <w:r w:rsidRPr="00E23C05">
              <w:t>Ευρωπαϊκό Κοινοβούλιο</w:t>
            </w:r>
          </w:p>
          <w:p w:rsidR="00751A4A" w:rsidRPr="00E23C05" w:rsidP="005F1B17" w14:paraId="74C51603" w14:textId="77777777">
            <w:pPr>
              <w:pStyle w:val="EPTerm"/>
              <w:rPr>
                <w:rStyle w:val="HideTWBExt"/>
                <w:noProof w:val="0"/>
                <w:vanish w:val="0"/>
                <w:color w:val="auto"/>
              </w:rPr>
            </w:pPr>
            <w:r w:rsidRPr="00E23C05">
              <w:t>2024</w:t>
            </w:r>
            <w:r w:rsidRPr="00E23C05" w:rsidR="00817416">
              <w:t>-202</w:t>
            </w:r>
            <w:r w:rsidRPr="00E23C05">
              <w:t>9</w:t>
            </w:r>
          </w:p>
        </w:tc>
        <w:tc>
          <w:tcPr>
            <w:tcW w:w="2268" w:type="dxa"/>
            <w:shd w:val="clear" w:color="auto" w:fill="auto"/>
          </w:tcPr>
          <w:p w:rsidR="00751A4A" w:rsidRPr="00E23C05" w:rsidP="0010095E" w14:paraId="47EA6F58" w14:textId="77777777">
            <w:pPr>
              <w:pStyle w:val="EPLogo"/>
            </w:pPr>
            <w:r w:rsidRPr="00E23C0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23C05" w:rsidP="004C5D52" w14:paraId="2D5CFE7A" w14:textId="77777777">
      <w:pPr>
        <w:pStyle w:val="LineTop"/>
      </w:pPr>
    </w:p>
    <w:p w:rsidR="00680577" w:rsidRPr="00E23C05" w:rsidP="00680577" w14:paraId="639B4EAF" w14:textId="77777777">
      <w:pPr>
        <w:pStyle w:val="EPBodyTA1"/>
      </w:pPr>
      <w:r w:rsidRPr="00E23C05">
        <w:t>ΚΕΙΜΕΝΑ ΠΟΥ ΕΓΚΡΙΘΗΚΑΝ</w:t>
      </w:r>
    </w:p>
    <w:p w:rsidR="00D058B8" w:rsidRPr="00E23C05" w:rsidP="00D058B8" w14:paraId="58266A89" w14:textId="77777777">
      <w:pPr>
        <w:pStyle w:val="LineBottom"/>
      </w:pPr>
    </w:p>
    <w:p w:rsidR="008E14F7" w:rsidRPr="00E23C05" w:rsidP="008E14F7" w14:paraId="54D1F73D" w14:textId="06A6CC26">
      <w:pPr>
        <w:pStyle w:val="ATHeading1"/>
      </w:pPr>
      <w:bookmarkStart w:id="0" w:name="TANumber"/>
      <w:r w:rsidRPr="00E23C05">
        <w:t>P10_TA(2026)0</w:t>
      </w:r>
      <w:r w:rsidR="00410BB0">
        <w:t>231</w:t>
      </w:r>
      <w:bookmarkEnd w:id="0"/>
    </w:p>
    <w:p w:rsidR="008E14F7" w:rsidRPr="00E23C05" w:rsidP="008E14F7" w14:paraId="1606C777" w14:textId="77777777">
      <w:pPr>
        <w:pStyle w:val="ATHeading2"/>
      </w:pPr>
      <w:bookmarkStart w:id="1" w:name="title"/>
      <w:r w:rsidRPr="00E23C05">
        <w:t>Οι απαράδεκτες προκλητικές ενέργειες της Ρωσίας και οι ρωσικές επιδρομές με δρόνους στη Ρουμανία, τις χώρες της Βαλτικής και τη Φινλανδία</w:t>
      </w:r>
      <w:bookmarkEnd w:id="1"/>
    </w:p>
    <w:p w:rsidR="008E14F7" w:rsidRPr="00E23C05" w:rsidP="008E14F7" w14:paraId="1D1ECDB7" w14:textId="249D8722">
      <w:pPr>
        <w:rPr>
          <w:i/>
          <w:vanish/>
        </w:rPr>
      </w:pPr>
      <w:r>
        <w:rPr>
          <w:i/>
        </w:rPr>
        <w:fldChar w:fldCharType="begin"/>
      </w:r>
      <w:r w:rsidRPr="00E23C05">
        <w:rPr>
          <w:i/>
        </w:rPr>
        <w:instrText xml:space="preserve"> TC"(</w:instrText>
      </w:r>
      <w:bookmarkStart w:id="2" w:name="DocNumber"/>
      <w:r w:rsidRPr="00E23C05">
        <w:rPr>
          <w:i/>
        </w:rPr>
        <w:instrText>B10-0304</w:instrText>
      </w:r>
      <w:r w:rsidR="0095050C">
        <w:rPr>
          <w:i/>
        </w:rPr>
        <w:instrText>, 0305, 0308, 0309 και 0311</w:instrText>
      </w:r>
      <w:r w:rsidRPr="00E23C05">
        <w:rPr>
          <w:i/>
        </w:rPr>
        <w:instrText>/2026</w:instrText>
      </w:r>
      <w:bookmarkEnd w:id="2"/>
      <w:r w:rsidRPr="00E23C05">
        <w:rPr>
          <w:i/>
        </w:rPr>
        <w:instrText xml:space="preserve">)"\l3 \n&gt; \* MERGEFORMAT </w:instrText>
      </w:r>
      <w:r>
        <w:rPr>
          <w:i/>
        </w:rPr>
        <w:fldChar w:fldCharType="end"/>
      </w:r>
    </w:p>
    <w:p w:rsidR="008E14F7" w:rsidRPr="00E23C05" w:rsidP="008E14F7" w14:paraId="41C6A2C6" w14:textId="77777777">
      <w:pPr>
        <w:rPr>
          <w:vanish/>
        </w:rPr>
      </w:pPr>
      <w:bookmarkStart w:id="3" w:name="PE"/>
      <w:r w:rsidRPr="00E23C05">
        <w:rPr>
          <w:vanish/>
        </w:rPr>
        <w:t>PE783.361</w:t>
      </w:r>
      <w:bookmarkEnd w:id="3"/>
    </w:p>
    <w:p w:rsidR="008E14F7" w:rsidRPr="00E23C05" w:rsidP="008E14F7" w14:paraId="7C5F4FBB" w14:textId="0DCF86AF">
      <w:pPr>
        <w:pStyle w:val="ATHeading3"/>
      </w:pPr>
      <w:bookmarkStart w:id="4" w:name="Sujet"/>
      <w:r w:rsidRPr="00E23C05">
        <w:t xml:space="preserve">Ψήφισμα του Ευρωπαϊκού Κοινοβουλίου της </w:t>
      </w:r>
      <w:r w:rsidR="0095050C">
        <w:t>18ης Ιουνίου</w:t>
      </w:r>
      <w:r w:rsidRPr="00E23C05" w:rsidR="0095050C">
        <w:t xml:space="preserve"> </w:t>
      </w:r>
      <w:r w:rsidRPr="00E23C05">
        <w:t>2026 σχετικά με τις απαράδεκτες προκλητικές ενέργειες της Ρωσίας και τις ρωσικές επιδρομές με δρόνους στη Ρουμανία, τις χώρες της Βαλτικής και τη Φινλανδία</w:t>
      </w:r>
      <w:bookmarkEnd w:id="4"/>
      <w:r w:rsidRPr="00E23C05">
        <w:t xml:space="preserve"> </w:t>
      </w:r>
      <w:bookmarkStart w:id="5" w:name="References"/>
      <w:r w:rsidRPr="00E23C05">
        <w:t>(2026/2772(RSP))</w:t>
      </w:r>
      <w:bookmarkEnd w:id="5"/>
    </w:p>
    <w:p w:rsidR="0024196E" w:rsidRPr="00E23C05" w:rsidP="0024196E" w14:paraId="32E8B470" w14:textId="77777777">
      <w:pPr>
        <w:pStyle w:val="EPComma"/>
      </w:pPr>
      <w:bookmarkStart w:id="6" w:name="TextBodyBegin"/>
      <w:bookmarkEnd w:id="6"/>
      <w:r w:rsidRPr="00E23C05">
        <w:rPr>
          <w:i/>
          <w:iCs/>
        </w:rPr>
        <w:t>Το Ευρωπαϊκό Κοινοβούλιο,</w:t>
      </w:r>
    </w:p>
    <w:p w:rsidR="0024196E" w:rsidRPr="00E23C05" w:rsidP="0024196E" w14:paraId="245F0BB3" w14:textId="77777777">
      <w:pPr>
        <w:pStyle w:val="NormalHanging12a"/>
      </w:pPr>
      <w:r w:rsidRPr="00E23C05">
        <w:t>–</w:t>
      </w:r>
      <w:r w:rsidRPr="00E23C05">
        <w:tab/>
        <w:t>έχοντας υπόψη τα προηγούμενα ψηφίσματά του σχετικά με τη Ρωσία και την Ουκρανία, ιδίως το ψήφισμά του της 9ης Οκτωβρίου 2025, σχετικά με την ενιαία απάντηση στις πρόσφατες παραβιάσεις του εναέριου χώρου και κρίσιμων υποδομών κρατών μελών της ΕΕ από τη Ρωσία</w:t>
      </w:r>
      <w:r>
        <w:rPr>
          <w:rStyle w:val="FootnoteReference"/>
        </w:rPr>
        <w:footnoteReference w:id="2"/>
      </w:r>
      <w:r w:rsidRPr="00E23C05">
        <w:t>,</w:t>
      </w:r>
    </w:p>
    <w:p w:rsidR="0024196E" w:rsidRPr="00E23C05" w:rsidP="0024196E" w14:paraId="6D5091CA" w14:textId="77777777">
      <w:pPr>
        <w:pStyle w:val="NormalHanging12a"/>
        <w:rPr>
          <w:rFonts w:eastAsia="Aptos"/>
          <w:kern w:val="2"/>
          <w14:ligatures w14:val="standardContextual"/>
        </w:rPr>
      </w:pPr>
      <w:r w:rsidRPr="00E23C05">
        <w:t>–</w:t>
      </w:r>
      <w:r w:rsidRPr="00E23C05">
        <w:tab/>
        <w:t>έχοντας υπόψη τον Χάρτη των Ηνωμένων Εθνών και τις θεμελιώδεις αρχές του διεθνούς δικαίου,</w:t>
      </w:r>
    </w:p>
    <w:p w:rsidR="0024196E" w:rsidRPr="00E23C05" w:rsidP="0024196E" w14:paraId="46F5E253" w14:textId="6368A9C3">
      <w:pPr>
        <w:pStyle w:val="NormalHanging12a"/>
        <w:rPr>
          <w:rFonts w:eastAsia="Aptos"/>
          <w:kern w:val="2"/>
          <w14:ligatures w14:val="standardContextual"/>
        </w:rPr>
      </w:pPr>
      <w:r w:rsidRPr="00E23C05">
        <w:t>–</w:t>
      </w:r>
      <w:r w:rsidRPr="00E23C05">
        <w:tab/>
        <w:t>έχοντας υπόψη τη Συνθήκη για την Ευρωπαϊκή Ένωση, ιδίως το άρθρο 24 παράγραφος 3, το άρθρο 42 παράγραφος 7 και το άρθρο 222,</w:t>
      </w:r>
    </w:p>
    <w:p w:rsidR="0024196E" w:rsidRPr="00E23C05" w:rsidP="0024196E" w14:paraId="61F87260" w14:textId="77777777">
      <w:pPr>
        <w:pStyle w:val="NormalHanging12a"/>
        <w:rPr>
          <w:rFonts w:eastAsia="Aptos"/>
          <w:kern w:val="2"/>
          <w14:ligatures w14:val="standardContextual"/>
        </w:rPr>
      </w:pPr>
      <w:r w:rsidRPr="00E23C05">
        <w:t>–</w:t>
      </w:r>
      <w:r w:rsidRPr="00E23C05">
        <w:tab/>
        <w:t>έχοντας υπόψη τη Συνθήκη του Βορείου Ατλαντικού, της 4ης Απριλίου 1949, ιδίως τα άρθρα 4 και 5,</w:t>
      </w:r>
    </w:p>
    <w:p w:rsidR="0024196E" w:rsidRPr="00E23C05" w:rsidP="0024196E" w14:paraId="1348C01E" w14:textId="77777777">
      <w:pPr>
        <w:pStyle w:val="NormalHanging12a"/>
      </w:pPr>
      <w:r w:rsidRPr="00E23C05">
        <w:t>–</w:t>
      </w:r>
      <w:r w:rsidRPr="00E23C05">
        <w:tab/>
        <w:t>έχοντας υπόψη την κοινή ανακοίνωση της Επιτροπής και της Ύπατης Εκπροσώπου της Ένωσης για θέματα Εξωτερικής Πολιτικής και Πολιτικής Ασφαλείας, της 19ης Μαρτίου 2025, με τίτλο «Κοινή Λευκή Βίβλος για την ευρωπαϊκή αμυντική ετοιμότητα έως το 2030» (JOIN(2025)0120) και το ψήφισμά του της 12ης Μαρτίου 2025</w:t>
      </w:r>
      <w:r>
        <w:rPr>
          <w:rStyle w:val="FootnoteReference"/>
        </w:rPr>
        <w:footnoteReference w:id="3"/>
      </w:r>
      <w:r w:rsidRPr="00E23C05">
        <w:t>,</w:t>
      </w:r>
    </w:p>
    <w:p w:rsidR="0024196E" w:rsidRPr="00E23C05" w:rsidP="0024196E" w14:paraId="68FF004F" w14:textId="77777777">
      <w:pPr>
        <w:pStyle w:val="NormalHanging12a"/>
        <w:rPr>
          <w:rFonts w:eastAsia="Aptos"/>
          <w:kern w:val="2"/>
          <w14:ligatures w14:val="standardContextual"/>
        </w:rPr>
      </w:pPr>
      <w:r w:rsidRPr="00E23C05">
        <w:t>–</w:t>
      </w:r>
      <w:r w:rsidRPr="00E23C05">
        <w:tab/>
        <w:t>έχοντας υπόψη την κοινή ανακοίνωση της Επιτροπής και της Ύπατης Εκπροσώπου της Ένωσης για θέματα Εξωτερικής Πολιτικής και Πολιτικής Ασφαλείας, της 16ης Οκτωβρίου 2025, με τίτλο «Διαφύλαξη της ειρήνης – Χάρτης πορείας για την αμυντική ετοιμότητα με ορίζοντα το 2030» (JOIN(2025)0027),</w:t>
      </w:r>
    </w:p>
    <w:p w:rsidR="0024196E" w:rsidRPr="00E23C05" w:rsidP="0024196E" w14:paraId="19BBC67F" w14:textId="77777777">
      <w:pPr>
        <w:pStyle w:val="NormalHanging12a"/>
        <w:rPr>
          <w:rFonts w:eastAsia="Aptos"/>
          <w:kern w:val="2"/>
          <w14:ligatures w14:val="standardContextual"/>
        </w:rPr>
      </w:pPr>
      <w:r w:rsidRPr="00E23C05">
        <w:t>–</w:t>
      </w:r>
      <w:r w:rsidRPr="00E23C05">
        <w:tab/>
        <w:t>έχοντας υπόψη τα συμπεράσματα του Ευρωπαϊκού Συμβουλίου, της 19ης Μαρτίου 2026, σχετικά με τη συνεχιζόμενη στήριξη της ΕΕ προς την Ουκρανία,</w:t>
      </w:r>
    </w:p>
    <w:p w:rsidR="0024196E" w:rsidRPr="00E23C05" w:rsidP="0024196E" w14:paraId="53BAA9E9" w14:textId="77777777">
      <w:pPr>
        <w:pStyle w:val="NormalHanging12a"/>
        <w:rPr>
          <w:rFonts w:eastAsia="Aptos"/>
          <w:kern w:val="2"/>
          <w14:ligatures w14:val="standardContextual"/>
        </w:rPr>
      </w:pPr>
      <w:r w:rsidRPr="00E23C05">
        <w:t>–</w:t>
      </w:r>
      <w:r w:rsidRPr="00E23C05">
        <w:tab/>
        <w:t xml:space="preserve">έχοντας υπόψη τις δηλώσεις της Προέδρου της Επιτροπής, </w:t>
      </w:r>
      <w:r w:rsidRPr="00E23C05">
        <w:t>Ursula</w:t>
      </w:r>
      <w:r w:rsidRPr="00E23C05">
        <w:t xml:space="preserve"> </w:t>
      </w:r>
      <w:r w:rsidRPr="00E23C05">
        <w:t>von</w:t>
      </w:r>
      <w:r w:rsidRPr="00E23C05">
        <w:t xml:space="preserve"> </w:t>
      </w:r>
      <w:r w:rsidRPr="00E23C05">
        <w:t>der</w:t>
      </w:r>
      <w:r w:rsidRPr="00E23C05">
        <w:t xml:space="preserve"> </w:t>
      </w:r>
      <w:r w:rsidRPr="00E23C05">
        <w:t>Leyen</w:t>
      </w:r>
      <w:r w:rsidRPr="00E23C05">
        <w:t>, της 20ής Μαΐου 2026, σχετικά με τις απειλές της Ρωσίας κατά των κρατών της Βαλτικής,</w:t>
      </w:r>
    </w:p>
    <w:p w:rsidR="0024196E" w:rsidRPr="00E23C05" w:rsidP="0024196E" w14:paraId="3B153D31" w14:textId="77777777">
      <w:pPr>
        <w:pStyle w:val="NormalHanging12a"/>
        <w:rPr>
          <w:rFonts w:eastAsia="Aptos"/>
          <w:kern w:val="2"/>
          <w14:ligatures w14:val="standardContextual"/>
        </w:rPr>
      </w:pPr>
      <w:r w:rsidRPr="00E23C05">
        <w:t>–</w:t>
      </w:r>
      <w:r w:rsidRPr="00E23C05">
        <w:tab/>
        <w:t xml:space="preserve">έχοντας υπόψη τη δήλωση της Αντιπροέδρου της Επιτροπής/Ύπατης Εκπροσώπου της Ένωσης για θέματα Εξωτερικής Πολιτικής και Πολιτικής Ασφαλείας, </w:t>
      </w:r>
      <w:r w:rsidRPr="00E23C05">
        <w:t>Kaja</w:t>
      </w:r>
      <w:r w:rsidRPr="00E23C05">
        <w:t xml:space="preserve"> </w:t>
      </w:r>
      <w:r w:rsidRPr="00E23C05">
        <w:t>Kallas</w:t>
      </w:r>
      <w:r w:rsidRPr="00E23C05">
        <w:t>, της 29ης Μαΐου 2026 με την οποία καταδικάζει την απερίσκεπτη παραβίαση του εναέριου χώρου της ΕΕ από τη Ρωσία,</w:t>
      </w:r>
    </w:p>
    <w:p w:rsidR="0024196E" w:rsidRPr="00E23C05" w:rsidP="0024196E" w14:paraId="38D949B5" w14:textId="77777777">
      <w:pPr>
        <w:pStyle w:val="NormalHanging12a"/>
      </w:pPr>
      <w:r w:rsidRPr="00E23C05">
        <w:t>–</w:t>
      </w:r>
      <w:r w:rsidRPr="00E23C05">
        <w:tab/>
        <w:t>έχοντας υπόψη το άρθρο 136 παράγραφοι 2 και 4 του Κανονισμού του,</w:t>
      </w:r>
    </w:p>
    <w:p w:rsidR="0024196E" w:rsidRPr="00E23C05" w:rsidP="0024196E" w14:paraId="02ED747B" w14:textId="77777777">
      <w:pPr>
        <w:pStyle w:val="NormalHanging12a"/>
      </w:pPr>
      <w:r w:rsidRPr="00E23C05">
        <w:t>Α.</w:t>
      </w:r>
      <w:r w:rsidRPr="00E23C05">
        <w:tab/>
        <w:t xml:space="preserve">λαμβάνοντας υπόψη ότι πριν από περισσότερα από τέσσερα χρόνια η Ρωσία εξαπέλυσε παράνομο, απρόκλητο και αδικαιολόγητο επιθετικό πόλεμο πλήρους κλίμακας κατά της Ουκρανίας, αφού είχε προηγηθεί η προσάρτηση της Κριμαίας το 2014 και η κατάληψη τμημάτων του </w:t>
      </w:r>
      <w:r w:rsidRPr="00E23C05">
        <w:t>Donbas</w:t>
      </w:r>
      <w:r w:rsidRPr="00E23C05">
        <w:t xml:space="preserve"> κατά κατάφωρη παραβίαση του διεθνούς δικαίου και της εδαφικής κυριαρχίας της Ουκρανίας· λαμβάνοντας υπόψη ότι από την έναρξη της ολομέτωπης εισβολής της Ρωσίας στην Ουκρανία έχουν σημειωθεί παρεισφρήσεις στον εναέριο χώρο της ΕΕ και του ΝΑΤΟ οι οποίες έχουν προκληθεί από τη Ρωσία, αλλά το τελευταίο διάστημα αυτές έχουν αυξηθεί σε συχνότητα και ένταση·</w:t>
      </w:r>
    </w:p>
    <w:p w:rsidR="0024196E" w:rsidRPr="00E23C05" w:rsidP="0024196E" w14:paraId="6A9A5059" w14:textId="77777777">
      <w:pPr>
        <w:pStyle w:val="NormalHanging12a"/>
        <w:rPr>
          <w:rFonts w:eastAsia="Aptos"/>
          <w:kern w:val="2"/>
          <w14:ligatures w14:val="standardContextual"/>
        </w:rPr>
      </w:pPr>
      <w:r w:rsidRPr="00E23C05">
        <w:t>Β.</w:t>
      </w:r>
      <w:r w:rsidRPr="00E23C05">
        <w:tab/>
        <w:t>λαμβάνοντας υπόψη ότι η συγκέντρωση στρατιωτικών δυνάμεων της Ρωσίας κατά μήκος της ανατολικής πτέρυγας της ΕΕ είναι εξέλιξη μεταξύ άλλων και στο έδαφος της Λευκορωσίας, η οποία είναι συνένοχη στον επιθετικό πόλεμο της Ρωσίας κατά της Ουκρανίας και σε υβριδικές επιθέσεις κατά της ΕΕ, ιδίως μέσω της εργαλειοποίησης της παράνομης μετανάστευσης, του οργανωμένου εγκλήματος, της παραπληροφόρησης και της εκτόξευσης μετεωρολογικών αερόστατων, που συνιστούν σοβαρές απειλές για την ασφάλεια, καθώς και μέσω συνεχών διαταραχών της πολιτικής αεροπορίας, της τρομοκράτησης των χωρών που συνορεύουν με τη Λευκορωσία, όπως η Λετονία, η Λιθουανία και η Πολωνία, και της πρόκλησης ζημίας στις τοπικές οικονομίες·</w:t>
      </w:r>
    </w:p>
    <w:p w:rsidR="0024196E" w:rsidRPr="00E23C05" w:rsidP="0024196E" w14:paraId="3D0952FB" w14:textId="77777777">
      <w:pPr>
        <w:pStyle w:val="NormalHanging12a"/>
        <w:rPr>
          <w:rFonts w:eastAsia="Aptos"/>
          <w:kern w:val="2"/>
          <w14:ligatures w14:val="standardContextual"/>
        </w:rPr>
      </w:pPr>
      <w:r w:rsidRPr="00E23C05">
        <w:t>Γ.</w:t>
      </w:r>
      <w:r w:rsidRPr="00E23C05">
        <w:tab/>
        <w:t>λαμβάνοντας υπόψη ότι η Εσθονία, η Φινλανδία, η Λετονία, η Λιθουανία, η Ρουμανία και άλλα κράτη μέλη της ΕΕ έχουν αποτελέσει στόχο των προσπαθειών αποσταθεροποίησης της Ρωσίας, οι οποίες λαμβάνουν τη μορφή παρεισφρήσεων δρόνων και παραβιάσεων του εναέριου χώρου, προπαγάνδας και παραπληροφόρησης, ηλεκτρονικού πολέμου, παρεμβολών στο παγκόσμιο δορυφορικό σύστημα πλοήγησης (GNSS), κυβερνοεπιθέσεων και δολιοφθοράς·</w:t>
      </w:r>
    </w:p>
    <w:p w:rsidR="0024196E" w:rsidRPr="00E23C05" w:rsidP="0024196E" w14:paraId="29C14033" w14:textId="77777777">
      <w:pPr>
        <w:pStyle w:val="NormalHanging12a"/>
      </w:pPr>
      <w:r w:rsidRPr="00E23C05">
        <w:t>Δ.</w:t>
      </w:r>
      <w:r w:rsidRPr="00E23C05">
        <w:tab/>
        <w:t>λαμβάνοντας υπόψη ότι στις 29 Μαΐου 2026, ρωσικός δρόνος συνετρίβη σε οικιστικό κτίριο στο Γαλάτσι της Ρουμανίας, προκαλώντας έκρηξη από την οποία τραυματίστηκαν δύο άνθρωποι· λαμβάνοντας υπόψη ότι αυτό ήταν το πρώτο τέτοιο περιστατικό σε έδαφος κράτους μέλους της ΕΕ και του ΝΑΤΟ που είχε ως αποτέλεσμα τραυματισμούς που χρήζουν ιατρικής περίθαλψης· λαμβάνοντας υπόψη ότι περισσότερα από 70 άτομα χρειάστηκε να εκκενωθούν·</w:t>
      </w:r>
    </w:p>
    <w:p w:rsidR="0024196E" w:rsidRPr="00E23C05" w:rsidP="0024196E" w14:paraId="75C8B645" w14:textId="2647E559">
      <w:pPr>
        <w:pStyle w:val="NormalHanging12a"/>
        <w:rPr>
          <w:rFonts w:eastAsia="Aptos"/>
          <w:kern w:val="2"/>
          <w14:ligatures w14:val="standardContextual"/>
        </w:rPr>
      </w:pPr>
      <w:r w:rsidRPr="00E23C05">
        <w:t>Ε.</w:t>
      </w:r>
      <w:r w:rsidRPr="00E23C05">
        <w:tab/>
        <w:t xml:space="preserve">λαμβάνοντας υπόψη ότι στις 19 Μαΐου 2026, δρόνος που παρείσφρησε και πετούσε στον εναέριο χώρο της Εσθονίας καταρρίφθηκε από ρουμανικό μαχητικό αεροσκάφος που συμμετείχε στην αποστολή αεροπορικής αστυνόμευσης του ΝΑΤΟ στη Βαλτική· λαμβάνοντας υπόψη ότι στις 20 Μαΐου 2026, η παρείσφρηση άγνωστου δρόνου στον εναέριο χώρο της Λιθουανίας ανάγκασε τις αρχές να σημάνουν σε πρωτοφανή κλίμακα </w:t>
      </w:r>
      <w:r w:rsidRPr="00E23C05">
        <w:t xml:space="preserve">συναγερμό για αεροπορική επιδρομή, με αποτέλεσμα οι πολίτες να αναγκαστούν να αναζητήσουν καταφύγιο· λαμβάνοντας υπόψη ότι στις 8 Ιουνίου 2026, γαλλικά μαχητικά αεροσκάφη του ΝΑΤΟ, τα οποία συμμετείχαν σε αποστολή του ΝΑΤΟ, κατέρριψαν </w:t>
      </w:r>
      <w:r w:rsidRPr="00E23C05">
        <w:t>δρόνους</w:t>
      </w:r>
      <w:r w:rsidRPr="00E23C05">
        <w:t xml:space="preserve"> σε </w:t>
      </w:r>
      <w:r w:rsidR="00FB51E9">
        <w:t>υπερπτήση</w:t>
      </w:r>
      <w:r w:rsidR="00FB51E9">
        <w:t xml:space="preserve"> </w:t>
      </w:r>
      <w:r w:rsidRPr="00E23C05">
        <w:t>πάνω από τη Λετονία· λαμβάνοντας υπόψη ότι αυτές οι παρεισφρήσεις δρόνων είναι άμεσο αποτέλεσμα του επιθετικού πολέμου της Ρωσίας κατά της Ουκρανίας, και στην πλειονότητά τους εισέρχονται στον εναέριο χώρο της ΕΕ λόγω του ηλεκτρονικού πολέμου που διεξάγει η Ρωσία· λαμβάνοντας υπόψη ότι τον Μάρτιο του 2026, λόγω παρεμβολών των ρωσικών συστημάτων ηλεκτρονικού πολέμου, τουλάχιστον τρεις ουκρανικοί δρόνοι εξετράπησαν από την προβλεπόμενη πορεία τους και εισήλθαν στην επικράτεια της Φινλανδίας, όπου και συνετρίβησαν·</w:t>
      </w:r>
    </w:p>
    <w:p w:rsidR="0024196E" w:rsidRPr="00E23C05" w:rsidP="0024196E" w14:paraId="30057BCA" w14:textId="77777777">
      <w:pPr>
        <w:pStyle w:val="NormalHanging12a"/>
        <w:rPr>
          <w:rFonts w:eastAsia="Aptos"/>
          <w:kern w:val="2"/>
          <w14:ligatures w14:val="standardContextual"/>
        </w:rPr>
      </w:pPr>
      <w:r w:rsidRPr="00E23C05">
        <w:t>ΣΤ.</w:t>
      </w:r>
      <w:r w:rsidRPr="00E23C05">
        <w:tab/>
        <w:t xml:space="preserve">λαμβάνοντας υπόψη ότι στις 29 Μαΐου 2026, ουκρανικός ναυτικός δρόνος εξερράγη στο λιμάνι της </w:t>
      </w:r>
      <w:r w:rsidRPr="00E23C05">
        <w:t>Κωνστάντζας</w:t>
      </w:r>
      <w:r w:rsidRPr="00E23C05">
        <w:t>, στη Ρουμανία, λόγω μέτρων ηλεκτρονικού πολέμου που μετήλθε η Ρωσική Ομοσπονδία, προκαλώντας υλικές ζημιές αλλά όχι ανθρώπινες απώλειες·</w:t>
      </w:r>
    </w:p>
    <w:p w:rsidR="0024196E" w:rsidRPr="00E23C05" w:rsidP="0024196E" w14:paraId="5D6ABEA3" w14:textId="525A9C41">
      <w:pPr>
        <w:pStyle w:val="NormalHanging12a"/>
        <w:rPr>
          <w:spacing w:val="-2"/>
        </w:rPr>
      </w:pPr>
      <w:r w:rsidRPr="00E23C05">
        <w:t>Ζ.</w:t>
      </w:r>
      <w:r w:rsidRPr="00E23C05">
        <w:tab/>
        <w:t xml:space="preserve">λαμβάνοντας υπόψη ότι στις 7 Μαΐου 2026, δύο ουκρανικοί δρόνοι, ως αποτέλεσμα παρεμβολών από ρωσικά συστήματα ηλεκτρονικού πολέμου, έπληξαν αποθήκη καυσίμων στο </w:t>
      </w:r>
      <w:r w:rsidRPr="00E23C05">
        <w:t>Rēzekne</w:t>
      </w:r>
      <w:r w:rsidRPr="00E23C05">
        <w:t>, στη Λετονία·</w:t>
      </w:r>
    </w:p>
    <w:p w:rsidR="0024196E" w:rsidRPr="00E23C05" w:rsidP="0024196E" w14:paraId="63204D47" w14:textId="77777777">
      <w:pPr>
        <w:pStyle w:val="NormalHanging12a"/>
        <w:rPr>
          <w:rFonts w:eastAsia="Aptos"/>
          <w:kern w:val="2"/>
          <w14:ligatures w14:val="standardContextual"/>
        </w:rPr>
      </w:pPr>
      <w:r w:rsidRPr="00E23C05">
        <w:t>Η.</w:t>
      </w:r>
      <w:r w:rsidRPr="00E23C05">
        <w:tab/>
        <w:t>λαμβάνοντας υπόψη ότι η περιοχή της Βαλτικής Θάλασσας παρουσιάζει υψηλή συγκέντρωση κρίσιμων υποδομών, συμπεριλαμβανομένων των υποθαλάσσιων δικτύων ενέργειας και τηλεπικοινωνιών, των μεταφορικών συνδέσεων και άλλων στρατηγικών πόρων, γεγονός που την καθιστά ιδιαίτερα ευάλωτη σε υβριδικές επιθέσεις, δολιοφθορά και απειλές που σχετίζονται με δρόνους· λαμβάνοντας υπόψη ότι για την προστασία των κρίσιμων υποδομών απαιτούνται τόσο η ενίσχυση της υλικής ανθεκτικότητας όσο και η διασφάλιση αυξημένων εφεδρειών και ενίσχυση της αποκέντρωσης, όπως καταδεικνύουν τα διδάγματα που αντλήθηκαν από τις επιθέσεις της Ρωσίας κατά ουκρανικών υποδομών·</w:t>
      </w:r>
    </w:p>
    <w:p w:rsidR="0024196E" w:rsidRPr="00E23C05" w:rsidP="0024196E" w14:paraId="6941835E" w14:textId="77777777">
      <w:pPr>
        <w:pStyle w:val="NormalHanging12a"/>
      </w:pPr>
      <w:r w:rsidRPr="00E23C05">
        <w:t>Θ.</w:t>
      </w:r>
      <w:r w:rsidRPr="00E23C05">
        <w:tab/>
      </w:r>
      <w:r w:rsidRPr="00E23C05">
        <w:rPr>
          <w:rStyle w:val="normaltextrun"/>
          <w:color w:val="000000"/>
        </w:rPr>
        <w:t xml:space="preserve">λαμβάνοντας υπόψη ότι ο παροπλισμός του πυρηνικού σταθμού ηλεκτροπαραγωγής </w:t>
      </w:r>
      <w:r w:rsidRPr="00E23C05">
        <w:rPr>
          <w:rStyle w:val="normaltextrun"/>
          <w:color w:val="000000"/>
        </w:rPr>
        <w:t>Ignalina</w:t>
      </w:r>
      <w:r w:rsidRPr="00E23C05">
        <w:rPr>
          <w:rStyle w:val="normaltextrun"/>
          <w:color w:val="000000"/>
        </w:rPr>
        <w:t xml:space="preserve"> στη Λιθουανία ενέχει σημαντικούς κινδύνους για την περιφερειακή ασφάλεια και το περιβάλλον λόγω της παρουσίας μεγάλων όγκων ακτινοβολημένων πυρηνικών καυσίμων και ραδιενεργών αποβλήτων που είναι αποθηκευμένα σε προσωρινές υπέργειες εγκαταστάσεις και λαμβάνοντας επίσης υπόψη ότι τυχόν ατύχημα ή εσκεμμένη προκλητική ενέργεια σε αυτές τις κρίσιμες υποδομές θα μπορούσε να έχει σοβαρές συνέπειες για ολόκληρη την περιοχή της Βαλτικής και πέραν αυτής</w:t>
      </w:r>
      <w:r w:rsidRPr="00E23C05">
        <w:t>·</w:t>
      </w:r>
    </w:p>
    <w:p w:rsidR="0024196E" w:rsidRPr="00E23C05" w:rsidP="0024196E" w14:paraId="1159A08B" w14:textId="77777777">
      <w:pPr>
        <w:pStyle w:val="NormalHanging12a"/>
        <w:rPr>
          <w:rFonts w:eastAsia="Aptos"/>
          <w:kern w:val="2"/>
          <w14:ligatures w14:val="standardContextual"/>
        </w:rPr>
      </w:pPr>
      <w:r w:rsidRPr="00E23C05">
        <w:t>Ι.</w:t>
      </w:r>
      <w:r w:rsidRPr="00E23C05">
        <w:tab/>
        <w:t>λαμβάνοντας υπόψη ότι έχουν σημειωθεί και άλλα σοβαρά περιστατικά που συνδέονται με εικαζόμενες παραβιάσεις του εναέριου χώρου των κρατών μελών της ΕΕ από τη Ρωσία·</w:t>
      </w:r>
    </w:p>
    <w:p w:rsidR="0024196E" w:rsidRPr="00E23C05" w:rsidP="0024196E" w14:paraId="36709D7C" w14:textId="77777777">
      <w:pPr>
        <w:pStyle w:val="NormalHanging12a"/>
        <w:rPr>
          <w:rFonts w:eastAsia="Aptos"/>
          <w:kern w:val="2"/>
          <w14:ligatures w14:val="standardContextual"/>
        </w:rPr>
      </w:pPr>
      <w:r w:rsidRPr="00E23C05">
        <w:t>ΙΑ.</w:t>
      </w:r>
      <w:r w:rsidRPr="00E23C05">
        <w:tab/>
        <w:t>λαμβάνοντας υπόψη ότι η ασφάλεια και η προστασία των κρατών μελών της ΕΕ στην ανατολική της πτέρυγα αποτελούν άμεση προτεραιότητα και κοινή ευρωπαϊκή ευθύνη, ιδίως δεδομένου ότι πραγματοποιούνται υβριδικές επιθέσεις στο πλαίσιο διεξαγωγής σύγχρονου πολέμου με χρήση δρόνων, ενός τομέα στον οποίο η ικανότητα των κρατών μελών της ΕΕ απέχει πολύ από το να είναι πλήρως ανεπτυγμένη·</w:t>
      </w:r>
    </w:p>
    <w:p w:rsidR="0024196E" w:rsidRPr="00E23C05" w:rsidP="0024196E" w14:paraId="19565F3D" w14:textId="77777777">
      <w:pPr>
        <w:pStyle w:val="NormalHanging12a"/>
        <w:rPr>
          <w:rFonts w:eastAsia="Aptos"/>
          <w:kern w:val="2"/>
          <w14:ligatures w14:val="standardContextual"/>
        </w:rPr>
      </w:pPr>
      <w:r w:rsidRPr="00E23C05">
        <w:t>ΙΒ.</w:t>
      </w:r>
      <w:r w:rsidRPr="00E23C05">
        <w:tab/>
        <w:t xml:space="preserve">λαμβάνοντας υπόψη ότι τα περιστατικά με δρόνους στην ανατολική πτέρυγα της ΕΕ έχουν αποκαλύψει σημαντικά κενά τόσο στη στρατιωτική ετοιμότητα όσο και στην ετοιμότητα των αμάχων· λαμβάνοντας υπόψη ότι τα υφιστάμενα συστήματα ραντάρ </w:t>
      </w:r>
      <w:r w:rsidRPr="00E23C05">
        <w:t>αποδεικνύονται συχνά ανίκανα να εντοπίσουν αντικείμενα σε χαμηλό υψόμετρο, οι μέθοδοι που επιλέγονται για την αναχαίτιση μη επανδρωμένων οχημάτων αέρος (UAV) είναι οικονομικά μη αποδοτικές, ενώ υπάρχουν επίσης αναφορές για περιστατικά που αποκαλύπτουν ότι ορισμένα αντιαεροπορικά καταφύγια ήταν κλειδωμένα ή μη προσβάσιμα στο κοινό· λαμβάνοντας υπόψη ότι αυτές οι αδυναμίες καταδεικνύουν συστημικά τρωτά σημεία που πρέπει να αντιμετωπιστούν επειγόντως στις διαδικασίες έκδοσης προειδοποίησης και αντίδρασης, καθώς και όσον αφορά την ευρύτερη κοινωνική ανθεκτικότητα·</w:t>
      </w:r>
    </w:p>
    <w:p w:rsidR="0024196E" w:rsidRPr="00E23C05" w:rsidP="0024196E" w14:paraId="21905BB0" w14:textId="77777777">
      <w:pPr>
        <w:pStyle w:val="NormalHanging12a"/>
        <w:rPr>
          <w:rStyle w:val="normaltextrun"/>
          <w:rFonts w:eastAsia="Aptos"/>
          <w:color w:val="000000"/>
          <w:kern w:val="2"/>
          <w:szCs w:val="22"/>
          <w14:ligatures w14:val="standardContextual"/>
        </w:rPr>
      </w:pPr>
      <w:r w:rsidRPr="00E23C05">
        <w:rPr>
          <w:rStyle w:val="normaltextrun"/>
          <w:color w:val="000000"/>
        </w:rPr>
        <w:t>ΙΓ.</w:t>
      </w:r>
      <w:r w:rsidRPr="00E23C05">
        <w:rPr>
          <w:rStyle w:val="normaltextrun"/>
          <w:color w:val="000000"/>
        </w:rPr>
        <w:tab/>
        <w:t>λαμβάνοντας υπόψη ότι, στις τελευταίες επιθέσεις της κατά της Ουκρανίας, η Ρωσία πυρπόλησε</w:t>
      </w:r>
      <w:r w:rsidRPr="00E23C05">
        <w:t xml:space="preserve"> τη μονή </w:t>
      </w:r>
      <w:r w:rsidRPr="00E23C05">
        <w:t>Kyiv</w:t>
      </w:r>
      <w:r w:rsidRPr="00E23C05">
        <w:t xml:space="preserve"> </w:t>
      </w:r>
      <w:r w:rsidRPr="00E23C05">
        <w:t>Pechersk</w:t>
      </w:r>
      <w:r w:rsidRPr="00E23C05">
        <w:t xml:space="preserve"> </w:t>
      </w:r>
      <w:r w:rsidRPr="00E23C05">
        <w:t>Lavra</w:t>
      </w:r>
      <w:r w:rsidRPr="00E23C05">
        <w:t>, μια ιστορικής σημασίας μονή της Ανατολικής Χριστιανοσύνης που έχει ανακηρυχθεί μνημείο παγκόσμιας κληρονομιάς της UNESCO, μεταξύ άλλων ανεκτίμητων τόπων πολιτιστικής κληρονομιάς·</w:t>
      </w:r>
    </w:p>
    <w:p w:rsidR="0024196E" w:rsidRPr="00E23C05" w:rsidP="0024196E" w14:paraId="3A1A2F14" w14:textId="77777777">
      <w:pPr>
        <w:pStyle w:val="NormalHanging12a"/>
      </w:pPr>
      <w:r w:rsidRPr="00E23C05">
        <w:t>ΙΔ.</w:t>
      </w:r>
      <w:r w:rsidRPr="00E23C05">
        <w:tab/>
        <w:t>λαμβάνοντας υπόψη ότι αυτά τα πρόσφατα περιστατικά που σχετίζονται με δρόνους έχουν καταδείξει την επείγουσα ανάγκη για πολυεπίπεδες αμυντικές ικανότητες που θα ενσωματώνουν κινητική και μη κινητική αναχαίτιση μη επανδρωμένων εναέριων συστημάτων (C-UAS)· λαμβάνοντας υπόψη ότι οι δρόνοι έχουν καταστεί καθοριστικό χαρακτηριστικό του σύγχρονου πολέμου και των υβριδικών συγκρούσεων, η δε χρήση τους στην Ουκρανία έχει αναδιαμορφώσει ριζικά τις αμυντικές απαιτήσεις και τα επιχειρησιακά δόγματα σε ολόκληρη την ήπειρο·</w:t>
      </w:r>
    </w:p>
    <w:p w:rsidR="0024196E" w:rsidRPr="00E23C05" w:rsidP="0024196E" w14:paraId="198CD854" w14:textId="77777777">
      <w:pPr>
        <w:pStyle w:val="NormalHanging12a"/>
      </w:pPr>
      <w:r w:rsidRPr="00E23C05">
        <w:t>ΙΕ.</w:t>
      </w:r>
      <w:r w:rsidRPr="00E23C05">
        <w:tab/>
        <w:t>λαμβάνοντας υπόψη ότι η Αρκτική και ο απώτατος Βορράς αποκτούν όλο και μεγαλύτερη σημασία για την ευρωπαϊκή ασφάλεια, ενώ η περιορισμένη κάλυψη από αισθητήρες και η αραιή μόνιμη παρουσία δημιουργούν τρωτά σημεία τα οποία ενδέχεται να επιδιώξουν να εκμεταλλευτούν εχθρικοί παράγοντες μέσω μη επανδρωμένων συστημάτων και υβριδικών επιχειρήσεων, γεγονός που εντείνει τον κίνδυνο παρεισφρήσεων εχθρικών δρόνων σε βάθος στο έδαφος της ΕΕ·</w:t>
      </w:r>
    </w:p>
    <w:p w:rsidR="0024196E" w:rsidRPr="00E23C05" w:rsidP="004525F4" w14:paraId="4B53BB9F" w14:textId="0EE00E61">
      <w:pPr>
        <w:pStyle w:val="NormalHanging12a"/>
        <w:ind w:hanging="570"/>
      </w:pPr>
      <w:r w:rsidRPr="00E23C05">
        <w:t>1.</w:t>
      </w:r>
      <w:r w:rsidRPr="00E23C05">
        <w:tab/>
      </w:r>
      <w:r w:rsidRPr="00E23C05">
        <w:t>καταδικάζει απερίφραστα τις απαράδεκτες προκλητικές ενέργειες της Ρωσίας και τις παρεισφρήσεις δρόνων στα κράτη μέλη της ΕΕ·</w:t>
      </w:r>
    </w:p>
    <w:p w:rsidR="0024196E" w:rsidRPr="00E23C05" w:rsidP="004525F4" w14:paraId="6651A9F0" w14:textId="71A2D55C">
      <w:pPr>
        <w:pStyle w:val="NormalHanging12a"/>
        <w:ind w:hanging="570"/>
        <w:rPr>
          <w:rFonts w:eastAsia="Aptos"/>
          <w:kern w:val="2"/>
          <w14:ligatures w14:val="standardContextual"/>
        </w:rPr>
      </w:pPr>
      <w:r w:rsidRPr="00E23C05">
        <w:rPr>
          <w:rFonts w:eastAsia="Aptos"/>
          <w:kern w:val="2"/>
          <w14:ligatures w14:val="standardContextual"/>
        </w:rPr>
        <w:t>2.</w:t>
      </w:r>
      <w:r w:rsidRPr="00E23C05">
        <w:rPr>
          <w:rFonts w:eastAsia="Aptos"/>
          <w:kern w:val="2"/>
          <w14:ligatures w14:val="standardContextual"/>
        </w:rPr>
        <w:tab/>
      </w:r>
      <w:r w:rsidRPr="00E23C05">
        <w:t>επαναβεβαιώνει την πλήρη αλληλεγγύη του προς την Εσθονία, τη Φινλανδία, τη Λετονία, τη Λιθουανία και τη Ρουμανία, των οποίων το έδαφος, ο εναέριος χώρος και οι κρίσιμες υποδομές έχουν αποτελέσει στόχο ρωσικών υβριδικών προκλήσεων· επαναβεβαιώνει ότι η ΕΕ δεν θα εκφοβιστεί από την εκστρατεία αποσταθεροποίησης της Ρωσίας και παραμένει ενωμένη στην αποφασιστικότητά της να υπερασπίζεται την ασφάλεια, την κυριαρχία και την εδαφική ακεραιότητα όλων των κρατών μελών της ΕΕ και να συνεχίσει να υποστηρίζει την Ουκρανία·</w:t>
      </w:r>
    </w:p>
    <w:p w:rsidR="0024196E" w:rsidRPr="00E23C05" w:rsidP="004525F4" w14:paraId="65F13A98" w14:textId="0A8A2B11">
      <w:pPr>
        <w:pStyle w:val="NormalHanging12a"/>
        <w:ind w:hanging="570"/>
        <w:rPr>
          <w:rStyle w:val="normaltextrun"/>
          <w:rFonts w:eastAsia="Aptos"/>
          <w:color w:val="000000"/>
          <w:kern w:val="2"/>
          <w:szCs w:val="22"/>
          <w14:ligatures w14:val="standardContextual"/>
        </w:rPr>
      </w:pPr>
      <w:r w:rsidRPr="00E23C05">
        <w:rPr>
          <w:rStyle w:val="normaltextrun"/>
          <w:rFonts w:eastAsia="Aptos"/>
          <w:color w:val="000000"/>
          <w:kern w:val="2"/>
          <w:szCs w:val="22"/>
          <w14:ligatures w14:val="standardContextual"/>
        </w:rPr>
        <w:t>3.</w:t>
      </w:r>
      <w:r w:rsidRPr="00E23C05">
        <w:rPr>
          <w:rStyle w:val="normaltextrun"/>
          <w:rFonts w:eastAsia="Aptos"/>
          <w:color w:val="000000"/>
          <w:kern w:val="2"/>
          <w:szCs w:val="22"/>
          <w14:ligatures w14:val="standardContextual"/>
        </w:rPr>
        <w:tab/>
      </w:r>
      <w:r w:rsidRPr="00E23C05">
        <w:rPr>
          <w:rStyle w:val="normaltextrun"/>
          <w:color w:val="000000"/>
        </w:rPr>
        <w:t>αναγνωρίζει την ιδιαιτέρως ευάλωτη κατάσταση στην οποία βρίσκονται οι πολίτες στις παραμεθόριες περιοχές της ΕΕ κατά μήκος της ανατολικής πτέρυγας, οι οποίοι είναι εξαιρετικά εκτεθειμένοι σε σοβαρές απειλές και, ως εκ τούτου, επωμίζονται επίσης σημαντικό οικονομικό και κοινωνικό κόστος, και εκφράζει την πλήρη αλληλεγγύη του απέναντί τους· ζητεί να ληφθούν στοχευμένα μέτρα σε επίπεδο ΕΕ, συμπεριλαμβανομένης ειδικής χρηματοδοτικής στήριξης, με σκοπό την ενίσχυση της προστασίας των πληττόμενων κοινοτήτων και των κρίσιμων υποδομών και τη διασφάλιση της πρόληψης, της ετοιμότητας, της ανθεκτικότητας και της αντιμετώπισης καταστάσεων έκτακτης ανάγκης, καθώς και της ανασυγκρότησης σε αυτές τις ιδιαίτερα εκτεθειμένες περιοχές·</w:t>
      </w:r>
    </w:p>
    <w:p w:rsidR="0024196E" w:rsidRPr="00E23C05" w:rsidP="004525F4" w14:paraId="7261D453" w14:textId="30B0D28D">
      <w:pPr>
        <w:pStyle w:val="NormalHanging12a"/>
        <w:ind w:hanging="570"/>
        <w:rPr>
          <w:rFonts w:eastAsia="Aptos"/>
          <w:kern w:val="2"/>
          <w14:ligatures w14:val="standardContextual"/>
        </w:rPr>
      </w:pPr>
      <w:r w:rsidRPr="00E23C05">
        <w:rPr>
          <w:rFonts w:eastAsia="Aptos"/>
          <w:kern w:val="2"/>
          <w14:ligatures w14:val="standardContextual"/>
        </w:rPr>
        <w:t>4.</w:t>
      </w:r>
      <w:r w:rsidRPr="00E23C05">
        <w:rPr>
          <w:rFonts w:eastAsia="Aptos"/>
          <w:kern w:val="2"/>
          <w14:ligatures w14:val="standardContextual"/>
        </w:rPr>
        <w:tab/>
      </w:r>
      <w:r w:rsidRPr="00E23C05">
        <w:t xml:space="preserve">καταδικάζει απερίφραστα το ρωσικό πλήγμα με </w:t>
      </w:r>
      <w:r w:rsidRPr="00E23C05">
        <w:t>δρόνο</w:t>
      </w:r>
      <w:r w:rsidRPr="00E23C05">
        <w:t xml:space="preserve"> σε κτίριο κατοικιών στο Γαλάτσι, στη Ρουμανία, το οποίο προκάλεσε τον άμεσο τραυματισμό αμάχων, γεγονός που σηματοδοτεί σημαντική και σοβαρή κλιμάκωση· θεωρεί ότι οι επανειλημμένες παρεισφρήσεις δρόνων και παραβιάσεις του εναέριου χώρου σε χώρες της ΕΕ δεν αποτελούν μεμονωμένα περιστατικά αλλά αναπόσπαστο μέρος της ευρύτερης ρωσικής στρατηγικής εκφοβισμού κατά της ΕΕ και των συμμάχων της·</w:t>
      </w:r>
    </w:p>
    <w:p w:rsidR="0024196E" w:rsidRPr="00E23C05" w:rsidP="004525F4" w14:paraId="2E1B5EB4" w14:textId="2C9A2602">
      <w:pPr>
        <w:pStyle w:val="NormalHanging12a"/>
        <w:ind w:hanging="570"/>
        <w:rPr>
          <w:rFonts w:eastAsia="Aptos"/>
          <w:kern w:val="2"/>
          <w14:ligatures w14:val="standardContextual"/>
        </w:rPr>
      </w:pPr>
      <w:r w:rsidRPr="00E23C05">
        <w:rPr>
          <w:rFonts w:eastAsia="Aptos"/>
          <w:kern w:val="2"/>
          <w14:ligatures w14:val="standardContextual"/>
        </w:rPr>
        <w:t>5.</w:t>
      </w:r>
      <w:r w:rsidRPr="00E23C05">
        <w:rPr>
          <w:rFonts w:eastAsia="Aptos"/>
          <w:kern w:val="2"/>
          <w14:ligatures w14:val="standardContextual"/>
        </w:rPr>
        <w:tab/>
      </w:r>
      <w:r w:rsidRPr="00E23C05">
        <w:rPr>
          <w:rStyle w:val="normaltextrun"/>
          <w:color w:val="000000"/>
        </w:rPr>
        <w:t xml:space="preserve">δηλώνει ότι η Ρωσία φέρει πλήρη και αδιαμφισβήτητη ευθύνη για αυτές τις απερίσκεπτες επιθέσεις που συνεπάγονται κλιμάκωση και θέτουν σε κίνδυνο ζωές· επαναλαμβάνει ότι οι πράξεις της Ρωσικής Ομοσπονδίας συνιστούν εσκεμμένη, συστηματική και συνεχιζόμενη απειλή για την ασφάλεια, την ανθεκτικότητα και την κυριαρχία της ΕΕ και των κρατών μελών της· </w:t>
      </w:r>
      <w:r w:rsidRPr="00E23C05">
        <w:t xml:space="preserve">επαναλαμβάνει ότι καταδικάζει κατηγορηματικά τον παράνομο, απρόκλητο και αδικαιολόγητο επιθετικό πόλεμο της Ρωσίας κατά της Ουκρανίας, καθώς και τη συνενοχή της Λευκορωσίας· καταγγέλλει απερίφραστα την απόφαση της Ρωσίας να συνεχίσει τον επιθετικό της πόλεμο, συμπεριλαμβανομένων των πλέον πρόσφατων στοχευμένων επιθέσεων σε τόπους πολιτιστικής κληρονομιάς και στο μνημείο παγκόσμιας κληρονομιάς της UNESCO </w:t>
      </w:r>
      <w:r w:rsidRPr="00E23C05">
        <w:t>Kyiv</w:t>
      </w:r>
      <w:r w:rsidRPr="00E23C05">
        <w:t xml:space="preserve"> </w:t>
      </w:r>
      <w:r w:rsidRPr="00E23C05">
        <w:t>Pechersk</w:t>
      </w:r>
      <w:r w:rsidRPr="00E23C05">
        <w:t xml:space="preserve"> </w:t>
      </w:r>
      <w:r w:rsidRPr="00E23C05">
        <w:t>Lavra</w:t>
      </w:r>
      <w:r w:rsidRPr="00E23C05">
        <w:t xml:space="preserve">, ενώ αρνείται κάθε άμεση διαπραγμάτευση με την Ουκρανία, όπως πρότεινε πρόσφατα ο Πρόεδρος της Ουκρανίας, </w:t>
      </w:r>
      <w:r w:rsidRPr="00E23C05">
        <w:t>Volodymyr</w:t>
      </w:r>
      <w:r w:rsidRPr="00E23C05">
        <w:t xml:space="preserve"> </w:t>
      </w:r>
      <w:r w:rsidRPr="00E23C05">
        <w:t>Zelenskyy</w:t>
      </w:r>
      <w:r w:rsidRPr="00E23C05">
        <w:t>·</w:t>
      </w:r>
    </w:p>
    <w:p w:rsidR="0024196E" w:rsidRPr="00E23C05" w:rsidP="004525F4" w14:paraId="6B0CDE41" w14:textId="46405217">
      <w:pPr>
        <w:pStyle w:val="NormalHanging12a"/>
        <w:ind w:hanging="570"/>
        <w:rPr>
          <w:rFonts w:eastAsia="Aptos"/>
          <w:kern w:val="2"/>
          <w14:ligatures w14:val="standardContextual"/>
        </w:rPr>
      </w:pPr>
      <w:r w:rsidRPr="00E23C05">
        <w:rPr>
          <w:rFonts w:eastAsia="Aptos"/>
          <w:kern w:val="2"/>
          <w14:ligatures w14:val="standardContextual"/>
        </w:rPr>
        <w:t>6.</w:t>
      </w:r>
      <w:r w:rsidRPr="00E23C05">
        <w:rPr>
          <w:rFonts w:eastAsia="Aptos"/>
          <w:kern w:val="2"/>
          <w14:ligatures w14:val="standardContextual"/>
        </w:rPr>
        <w:tab/>
      </w:r>
      <w:r w:rsidRPr="00E23C05">
        <w:t>καταδικάζει για άλλη μια φορά την εσκεμμένη παρεμβολή από τη Ρωσία στα σήματα του GNSS στις περιοχές της Βαλτικής και του Εύξεινου Πόντου, καθώς και την εσκεμμένη εκτόξευση από τη Λευκορωσία μετεωρολογικών αερόστατων, που ενέχουν σοβαρούς κινδύνους ασφάλειας για την πολιτική αεροπορία και τις θαλάσσιες μεταφορές· καταδικάζει, επιπλέον, τη Λευκορωσία για τις υβριδικές επιθέσεις της κατά της ΕΕ·</w:t>
      </w:r>
    </w:p>
    <w:p w:rsidR="0024196E" w:rsidRPr="00E23C05" w:rsidP="004525F4" w14:paraId="67B74CA9" w14:textId="2BBE7FFA">
      <w:pPr>
        <w:pStyle w:val="NormalHanging12a"/>
        <w:ind w:hanging="570"/>
        <w:rPr>
          <w:rFonts w:eastAsia="Aptos"/>
          <w:kern w:val="2"/>
          <w14:ligatures w14:val="standardContextual"/>
        </w:rPr>
      </w:pPr>
      <w:r w:rsidRPr="00E23C05">
        <w:rPr>
          <w:rFonts w:eastAsia="Aptos"/>
          <w:kern w:val="2"/>
          <w14:ligatures w14:val="standardContextual"/>
        </w:rPr>
        <w:t>7.</w:t>
      </w:r>
      <w:r w:rsidRPr="00E23C05">
        <w:rPr>
          <w:rFonts w:eastAsia="Aptos"/>
          <w:kern w:val="2"/>
          <w14:ligatures w14:val="standardContextual"/>
        </w:rPr>
        <w:tab/>
      </w:r>
      <w:r w:rsidRPr="00E23C05">
        <w:t>επαναλαμβάνει την έκκλησή του να επιταχυνθεί επειγόντως η παραγωγή και παράδοση στρατιωτικού εξοπλισμού προτεραιότητας στην Ουκρανία, ιδίως συστημάτων αεράμυνας, πυρομαχικών, δρόνων και πυραύλων, σε μια κρίσιμη στιγμή κατά την οποία οι οξείες ελλείψεις σε ικανότητες αεράμυνας αφήνουν τον πληθυσμό και τις υποδομές της Ουκρανίας όλο και πιο εκτεθειμένα·</w:t>
      </w:r>
    </w:p>
    <w:p w:rsidR="0024196E" w:rsidRPr="00E23C05" w:rsidP="004525F4" w14:paraId="7E04E2B5" w14:textId="23A92A0A">
      <w:pPr>
        <w:pStyle w:val="NormalHanging12a"/>
        <w:ind w:hanging="570"/>
        <w:rPr>
          <w:rFonts w:eastAsia="Aptos"/>
          <w:kern w:val="2"/>
          <w14:ligatures w14:val="standardContextual"/>
        </w:rPr>
      </w:pPr>
      <w:r w:rsidRPr="00E23C05">
        <w:rPr>
          <w:rFonts w:eastAsia="Aptos"/>
          <w:kern w:val="2"/>
          <w14:ligatures w14:val="standardContextual"/>
        </w:rPr>
        <w:t>8.</w:t>
      </w:r>
      <w:r w:rsidRPr="00E23C05">
        <w:rPr>
          <w:rFonts w:eastAsia="Aptos"/>
          <w:kern w:val="2"/>
          <w14:ligatures w14:val="standardContextual"/>
        </w:rPr>
        <w:tab/>
      </w:r>
      <w:r w:rsidRPr="00E23C05">
        <w:t>επισημαίνει ότι αυτές οι εχθρικές ενέργειες επιδεινώνονται από μια επιθετική εκστρατεία παραπληροφόρησης που επιδιώκει να εκφοβίσει τους τοπικούς πληθυσμούς, να καλλιεργήσει φόβο, να ζημιώσει τις τοπικές οικονομίες και να θέσει τις βάσεις για πιθανά αντίποινα, όπως στην περίπτωση των αβάσιμων ισχυρισμών της Ρωσίας σύμφωνα με τους οποίους τα κράτη της Βαλτικής επιτρέπουν στην Ουκρανία να χρησιμοποιεί τα εδάφη και τον εναέριο χώρο τους για να εξαπολύουν επιθέσεις με δρόνους εναντίον στόχων στη Ρωσία·</w:t>
      </w:r>
    </w:p>
    <w:p w:rsidR="0024196E" w:rsidRPr="00E23C05" w:rsidP="004525F4" w14:paraId="1C7A2880" w14:textId="4462F6F7">
      <w:pPr>
        <w:pStyle w:val="NormalHanging12a"/>
        <w:ind w:hanging="570"/>
      </w:pPr>
      <w:r w:rsidRPr="00E23C05">
        <w:t>9.</w:t>
      </w:r>
      <w:r w:rsidRPr="00E23C05">
        <w:tab/>
      </w:r>
      <w:r w:rsidRPr="00E23C05">
        <w:t>απευθύνει εκ νέου έκκληση για την επείγουσα δημιουργία μιας πραγματικής Ευρωπαϊκής Αμυντικής Ένωσης, συμπεριλαμβανομένων προτάσεων για ταχείες διαδικασίες λήψης αποφάσεων, η οποία θα υπερβαίνει τα υφιστάμενα πλαίσια, ήτοι τη λευκή βίβλο για την ευρωπαϊκή αμυντική ετοιμότητα έως το 2030 και τον επακόλουθο χάρτη πορείας για την αμυντική ετοιμότητα με ορίζοντα το 2030· υπογραμμίζει ότι η βαθύτερη ολοκλήρωση, ο συντονισμός και η συγκέντρωση πόρων είναι απαραίτητα στοιχεία για την αποτελεσματική απόκριση της ΕΕ στις κλιμακούμενες απειλές της Ρωσίας· ζητεί να ενισχυθεί η ευρωπαϊκή βιομηχανική και τεχνολογική βάση στον τομέα της άμυνας και η παραγωγική της ικανότητα σε ολόκληρη την ΕΕ μέσω ενισχυμένου συντονισμού σε επίπεδο ΕΕ, με τη μεγιστοποίηση της χρήσης εθνικών πρωτοβουλιών και μέσων της ΕΕ·</w:t>
      </w:r>
    </w:p>
    <w:p w:rsidR="0024196E" w:rsidRPr="00E23C05" w:rsidP="004525F4" w14:paraId="15707BF6" w14:textId="3433DAF0">
      <w:pPr>
        <w:pStyle w:val="NormalHanging12a"/>
        <w:ind w:hanging="570"/>
        <w:rPr>
          <w:rFonts w:eastAsia="Aptos"/>
          <w:kern w:val="2"/>
          <w14:ligatures w14:val="standardContextual"/>
        </w:rPr>
      </w:pPr>
      <w:r w:rsidRPr="00E23C05">
        <w:rPr>
          <w:rFonts w:eastAsia="Aptos"/>
          <w:kern w:val="2"/>
          <w14:ligatures w14:val="standardContextual"/>
        </w:rPr>
        <w:t>10.</w:t>
      </w:r>
      <w:r w:rsidRPr="00E23C05">
        <w:rPr>
          <w:rFonts w:eastAsia="Aptos"/>
          <w:kern w:val="2"/>
          <w14:ligatures w14:val="standardContextual"/>
        </w:rPr>
        <w:tab/>
      </w:r>
      <w:r w:rsidRPr="00E23C05">
        <w:t>ζητεί η ρήτρα αλληλεγγύης (άρθρο 222 της Συνθήκης για τη λειτουργία της Ευρωπαϊκής Ένωσης) και η ρήτρα αμοιβαίας συνδρομής (άρθρο 42 παράγραφος 7 της Συνθήκης για την Ευρωπαϊκή Ένωση) να τεθούν περαιτέρω σε εφαρμογή, μεταξύ άλλων σε περιπτώσεις στις οποίες κράτος μέλος αναγκάζεται να τις επικαλεστεί λόγω συμβατικής ή υβριδικής επίθεσης·</w:t>
      </w:r>
    </w:p>
    <w:p w:rsidR="0024196E" w:rsidRPr="00E23C05" w:rsidP="004525F4" w14:paraId="17504E75" w14:textId="2BBAB163">
      <w:pPr>
        <w:pStyle w:val="NormalHanging12a"/>
        <w:ind w:hanging="570"/>
      </w:pPr>
      <w:r w:rsidRPr="00E23C05">
        <w:t>11.</w:t>
      </w:r>
      <w:r w:rsidRPr="00E23C05">
        <w:tab/>
      </w:r>
      <w:r w:rsidRPr="00E23C05">
        <w:t>υπογραμμίζει την ανάγκη για συνεκτική ενίσχυση της ανατολικής πτέρυγας της ΕΕ και του ΝΑΤΟ σε όλο το μήκος της, από την Αρκτική έως τον Εύξεινο Πόντο, μεταξύ άλλων σε χερσαίο, θαλάσσιο και εναέριο επίπεδο, με την ανάπτυξη ικανοτήτων στα κράτη μέλη της πρώτης γραμμής για την απόκρουση δρόνων και μετεωρολογικών αερόστατων, και με τη διάθεση επαρκών πόρων για τον σκοπό αυτό· ζητεί από την ΕΕ και τα κράτη μέλη της να ενισχύσουν επειγόντως τις ικανότητες ανίχνευσης, παρεμβολής, αναχαίτισης και εξουδετέρωσης κατά μήκος της ανατολικής πτέρυγας της ΕΕ· ζητεί επίσης τη διενέργεια τακτικών κοινών ασκήσεων με τη συμμετοχή των κρατών μελών, των θεσμικών οργάνων της ΕΕ, της Ουκρανίας και του ΝΑΤΟ με σκοπό τον έλεγχο και τη βελτίωση της ετοιμότητας αυτών των μηχανισμών ταχείας αντίδρασης·</w:t>
      </w:r>
    </w:p>
    <w:p w:rsidR="0024196E" w:rsidRPr="00E23C05" w:rsidP="004525F4" w14:paraId="7EDE99EB" w14:textId="7BF972EC">
      <w:pPr>
        <w:pStyle w:val="NormalHanging12a"/>
        <w:ind w:hanging="570"/>
        <w:rPr>
          <w:rFonts w:eastAsia="Aptos"/>
          <w:kern w:val="2"/>
          <w14:ligatures w14:val="standardContextual"/>
        </w:rPr>
      </w:pPr>
      <w:r w:rsidRPr="00E23C05">
        <w:rPr>
          <w:rFonts w:eastAsia="Aptos"/>
          <w:kern w:val="2"/>
          <w14:ligatures w14:val="standardContextual"/>
        </w:rPr>
        <w:t>12.</w:t>
      </w:r>
      <w:r w:rsidRPr="00E23C05">
        <w:rPr>
          <w:rFonts w:eastAsia="Aptos"/>
          <w:kern w:val="2"/>
          <w14:ligatures w14:val="standardContextual"/>
        </w:rPr>
        <w:tab/>
      </w:r>
      <w:r w:rsidRPr="00E23C05">
        <w:t>συνιστά την ενσωμάτωση των C-UAS σε κοινές εκπαιδευτικές ασκήσεις και τον σχεδιασμό πολιτικής προστασίας σε επίπεδο ΕΕ, με έμφαση στις κρίσιμες υποδομές που παρέχουν τη δυνατότητα στην αστυνομία, τις αρχές αερολιμένων και τους φορείς του ενεργειακού τομέα να έχουν πρόσβαση σε πανευρωπαϊκή εκπαίδευση και τυποποιημένες ικανότητες C-UAS·</w:t>
      </w:r>
    </w:p>
    <w:p w:rsidR="0024196E" w:rsidRPr="00E23C05" w:rsidP="004525F4" w14:paraId="3CC3CE26" w14:textId="5177CCD2">
      <w:pPr>
        <w:pStyle w:val="NormalHanging12a"/>
        <w:ind w:hanging="570"/>
      </w:pPr>
      <w:r w:rsidRPr="00E23C05">
        <w:t>13.</w:t>
      </w:r>
      <w:r w:rsidRPr="00E23C05">
        <w:tab/>
      </w:r>
      <w:r w:rsidRPr="00E23C05">
        <w:t>επισημαίνει με ανησυχία την ανεπάρκεια των υφιστάμενων ευρωπαϊκών συστημάτων ανίχνευσης δρόνων και άμυνας έναντι αυτών και τονίζει την επείγουσα ανάγκη να βελτιωθούν η ανίχνευση και η άμυνα· τονίζει, στο πλαίσιο αυτό, την ανάγκη για μια ολιστική προσέγγιση που θα επικεντρώνεται στον καλύτερο εξοπλισμό των αρχών επιβολής του νόμου και των μη στρατιωτικών αρχών με τα μέσα για την ανίχνευση δρόνων και την άμυνα έναντι αυτών·</w:t>
      </w:r>
    </w:p>
    <w:p w:rsidR="0024196E" w:rsidRPr="00E23C05" w:rsidP="004525F4" w14:paraId="3EC8525C" w14:textId="77E619C7">
      <w:pPr>
        <w:pStyle w:val="NormalHanging12a"/>
        <w:ind w:hanging="570"/>
        <w:rPr>
          <w:rFonts w:eastAsia="Aptos"/>
          <w:kern w:val="2"/>
          <w14:ligatures w14:val="standardContextual"/>
        </w:rPr>
      </w:pPr>
      <w:r w:rsidRPr="00E23C05">
        <w:rPr>
          <w:rFonts w:eastAsia="Aptos"/>
          <w:kern w:val="2"/>
          <w14:ligatures w14:val="standardContextual"/>
        </w:rPr>
        <w:t>14.</w:t>
      </w:r>
      <w:r w:rsidRPr="00E23C05">
        <w:rPr>
          <w:rFonts w:eastAsia="Aptos"/>
          <w:kern w:val="2"/>
          <w14:ligatures w14:val="standardContextual"/>
        </w:rPr>
        <w:tab/>
      </w:r>
      <w:r w:rsidRPr="00E23C05">
        <w:t>ενθαρρύνει τα κράτη μέλη να δώσουν προτεραιότητα στην ενοποίηση των συστημάτων διοίκησης και ελέγχου με τις υπηρεσίες που παρεμβαίνουν πρώτες στο πεδίο σε περίπτωση έκτακτης ανάγκης, την πολιτική άμυνα και τα αμυντικά δόγματα που συνδέονται με UAS, προκειμένου να διασφαλιστεί ότι η ετοιμότητα των πολιτών, η παροχή καταφυγίου, η έγκαιρη προειδοποίηση και η τεχνολογική ολοκλήρωση θα βελτιστοποιηθούν στον μέγιστο δυνατό βαθμό·</w:t>
      </w:r>
    </w:p>
    <w:p w:rsidR="0024196E" w:rsidRPr="00E23C05" w:rsidP="004525F4" w14:paraId="260C62FF" w14:textId="5076C811">
      <w:pPr>
        <w:pStyle w:val="NormalHanging12a"/>
        <w:ind w:hanging="570"/>
      </w:pPr>
      <w:r w:rsidRPr="00E23C05">
        <w:t>15.</w:t>
      </w:r>
      <w:r w:rsidRPr="00E23C05">
        <w:tab/>
      </w:r>
      <w:r w:rsidRPr="00E23C05">
        <w:t>τονίζει ότι οι εσκεμμένες παρεισφρήσεις της Ρωσίας στην ανατολική πτέρυγα της ΕΕ και του ΝΑΤΟ έχουν ως στόχο όχι μόνο να προκαλέσουν και να αποσταθεροποιήσουν τα κράτη μέλη, αλλά και να δοκιμάσουν τις ικανότητες εντοπισμού και αντίδρασης του ΝΑΤΟ και να εκμεταλλευτούν τυχόν αδυναμίες · αναγνωρίζει ότι η Ρωσία συνεχίζει τις αποσταθεροποιητικές της δραστηριότητες στην περιοχή του Εύξεινου Πόντου, τόσο μέσω συμβατικών όσο και μέσω υβριδικών ενεργειών, μεταξύ άλλων με τη χρήση παρασυρόμενων ναρκών, επιχειρήσεων παρεμβολής και απειλών για την ελευθερία της ναυσιπλοΐας, καθιστώντας την ενίσχυση της ασφάλειας σε αυτήν την περιοχή στρατηγική προτεραιότητα που χρήζει επειγόντως προσοχής για να αντιμετωπιστεί η απειλή για την ευρωπαϊκή ασφάλεια·</w:t>
      </w:r>
    </w:p>
    <w:p w:rsidR="0024196E" w:rsidRPr="00E23C05" w:rsidP="004525F4" w14:paraId="443EA6BB" w14:textId="499767D2">
      <w:pPr>
        <w:pStyle w:val="NormalHanging12a"/>
        <w:ind w:hanging="570"/>
      </w:pPr>
      <w:r w:rsidRPr="00E23C05">
        <w:t>16.</w:t>
      </w:r>
      <w:r w:rsidRPr="00E23C05">
        <w:tab/>
      </w:r>
      <w:r w:rsidRPr="00E23C05">
        <w:t>ζητεί να εφαρμοστεί πλήρως η στρατηγική προσέγγιση της ΕΕ για τον Εύξεινο Πόντο και ζητεί να επιταχυνθεί η δημιουργία του κόμβου θαλάσσιας ασφάλειας του Εύξεινου Πόντου·</w:t>
      </w:r>
    </w:p>
    <w:p w:rsidR="0024196E" w:rsidRPr="00E23C05" w:rsidP="004525F4" w14:paraId="328F2276" w14:textId="588D8E42">
      <w:pPr>
        <w:pStyle w:val="NormalHanging12a"/>
        <w:ind w:hanging="570"/>
      </w:pPr>
      <w:r w:rsidRPr="00E23C05">
        <w:t>17.</w:t>
      </w:r>
      <w:r w:rsidRPr="00E23C05">
        <w:tab/>
      </w:r>
      <w:r w:rsidRPr="00E23C05">
        <w:t xml:space="preserve">επικροτεί την πρόσφατη έγκριση της 20ής δέσμης κυρώσεων της ΕΕ κατά της Ρωσίας και την παρουσίαση της 21ης δέσμης κυρώσεων· καλεί την Επιτροπή, τον απεσταλμένο της ΕΕ για τις κυρώσεις και τα κράτη μέλη να εφαρμόσουν αυστηρά νέες και υφιστάμενες κυρώσεις και να δώσουν προτεραιότητα χωρίς καθυστέρηση στην κάλυψη των κενών στις αλυσίδες εφοδιασμού· καλεί την Επιτροπή να επιβάλει χωρίς καθυστέρηση πρόσθετες κυρώσεις, συμπεριλαμβανομένων κυρώσεων για την </w:t>
      </w:r>
      <w:r w:rsidRPr="00E23C05">
        <w:t>αλουμίνα</w:t>
      </w:r>
      <w:r w:rsidRPr="00E23C05">
        <w:t xml:space="preserve"> και άλλες πρώτες ύλες στρατηγικής σημασίας και αγαθά διπλής χρήσης, και παροτρύνει όλα τα κράτη μέλη να μην εμποδίσουν την προσθήκη αυτών των υλών στον κατάλογο των κυρώσεων για λόγους εθνικού οικονομικού συμφέροντος· υποστηρίζει τη λήψη πρόσθετων μέτρων για την επερχόμενη δέσμη κυρώσεων με στόχο τον ενεργειακό και τον χρηματοπιστωτικό τομέα της Ρωσικής Ομοσπονδίας, καθώς και την απαγόρευση εισόδου στην ΕΕ για πρώην Ρώσους μαχητές που πολέμησαν στην Ουκρανία, και καλεί τα κράτη μέλη που εξακολουθούν να υποστηρίζουν τη Ρωσική Ομοσπονδία να παύσουν αυτήν την υποστήριξη·</w:t>
      </w:r>
    </w:p>
    <w:p w:rsidR="0024196E" w:rsidRPr="00E23C05" w:rsidP="004525F4" w14:paraId="3829CA21" w14:textId="6091E866">
      <w:pPr>
        <w:pStyle w:val="NormalHanging12a"/>
        <w:ind w:hanging="570"/>
      </w:pPr>
      <w:r w:rsidRPr="00E23C05">
        <w:t>18.</w:t>
      </w:r>
      <w:r w:rsidRPr="00E23C05">
        <w:tab/>
      </w:r>
      <w:r w:rsidRPr="00E23C05">
        <w:t>καλεί τα κράτη μέλη, ιδίως εκείνα που χορηγούν την πλειονότητα των θεωρήσεων σε Ρώσους υπηκόους, να εφαρμόσουν αυστηρά την εκτελεστική απόφαση της Επιτροπής, της 6ης Νοεμβρίου 2025, για τη θέσπιση προσαρμοσμένων κανόνων σχετικά με τη χορήγηση θεωρήσεων πολλαπλών εισόδων σε Ρώσους υπηκόους που διαμένουν στη Ρωσική Ομοσπονδία και υποβάλλουν αίτηση στη Ρωσική Ομοσπονδία για θεωρήσεις βραχείας διαμονής</w:t>
      </w:r>
      <w:r>
        <w:rPr>
          <w:rStyle w:val="FootnoteReference"/>
        </w:rPr>
        <w:footnoteReference w:id="4"/>
      </w:r>
      <w:r w:rsidRPr="00E23C05">
        <w:t>, και να εφαρμόσουν πλήρως τις κατευθυντήριες γραμμές της Επιτροπής του 2022 σχετικά με τον αυξημένο έλεγχο, ιδίως για τα τουριστικά και άλλα μη αναγκαία ταξίδια, διασφαλίζοντας παράλληλα την πρόσβαση σε περιπτώσεις πολιτικών ακτιβιστών κατά του πολέμου, ανεξάρτητων δημοσιογράφων, υπερασπιστών των ανθρωπίνων δικαιωμάτων, εκπροσώπων της κοινωνίας των πολιτών και σε περιπτώσεις ανθρωπιστικής βοήθειας·</w:t>
      </w:r>
    </w:p>
    <w:p w:rsidR="0024196E" w:rsidRPr="00E23C05" w:rsidP="004525F4" w14:paraId="363C35D8" w14:textId="5CC73039">
      <w:pPr>
        <w:pStyle w:val="NormalHanging12a"/>
        <w:ind w:hanging="570"/>
        <w:rPr>
          <w:rFonts w:eastAsia="Aptos"/>
          <w:kern w:val="2"/>
          <w14:ligatures w14:val="standardContextual"/>
        </w:rPr>
      </w:pPr>
      <w:r w:rsidRPr="00E23C05">
        <w:rPr>
          <w:rFonts w:eastAsia="Aptos"/>
          <w:kern w:val="2"/>
          <w14:ligatures w14:val="standardContextual"/>
        </w:rPr>
        <w:t>19.</w:t>
      </w:r>
      <w:r w:rsidRPr="00E23C05">
        <w:rPr>
          <w:rFonts w:eastAsia="Aptos"/>
          <w:kern w:val="2"/>
          <w14:ligatures w14:val="standardContextual"/>
        </w:rPr>
        <w:tab/>
      </w:r>
      <w:r w:rsidRPr="00E23C05">
        <w:t xml:space="preserve">ζητεί τη δημιουργία ενός οριζόντιου πλαισίου κυρώσεων της ΕΕ ειδικά σχεδιασμένου για υβριδικές </w:t>
      </w:r>
      <w:bookmarkStart w:id="7" w:name="_Hlk232495892"/>
      <w:r w:rsidRPr="00E23C05">
        <w:t>απειλές, το οποίο θα υφίσταται παράλληλα με το καθεστώς υβριδικών κυρώσεων για τη Ρωσία,</w:t>
      </w:r>
      <w:bookmarkEnd w:id="7"/>
      <w:r w:rsidRPr="00E23C05">
        <w:t xml:space="preserve"> προκειμένου να υπογραμμιστεί η ενεργός εμπλοκή της Ρωσίας σε υβριδικές επιχειρήσεις παγκοσμίως, ενώ παράλληλα θα επιτρέπει την ταχύτερη και πιο συστηματική επιβολή κυρώσεων σε οντότητες που ευθύνονται για υβριδικές εκστρατείες</w:t>
      </w:r>
      <w:r w:rsidRPr="00E23C05" w:rsidR="00B265ED">
        <w:t>·</w:t>
      </w:r>
      <w:r w:rsidR="00B265ED">
        <w:t xml:space="preserve"> </w:t>
      </w:r>
      <w:r w:rsidRPr="00B265ED" w:rsidR="00B265ED">
        <w:t xml:space="preserve">υπενθυμίζει ότι ορισμένα άτομα, μεταξύ των οποίων και η </w:t>
      </w:r>
      <w:r w:rsidRPr="00B265ED" w:rsidR="00B265ED">
        <w:t>Ksenia</w:t>
      </w:r>
      <w:r w:rsidRPr="00B265ED" w:rsidR="00B265ED">
        <w:t xml:space="preserve"> </w:t>
      </w:r>
      <w:r w:rsidRPr="00B265ED" w:rsidR="00B265ED">
        <w:t>Fedorova</w:t>
      </w:r>
      <w:r w:rsidRPr="00B265ED" w:rsidR="00B265ED">
        <w:t xml:space="preserve"> στη Γαλλία, τα οποία εργάζονταν για ρωσικούς διαύλους προπαγάνδας στους οποίους επιβλήθηκαν κυρώσεις, όπως το RT, εξακολουθούν να διαδίδουν παραπληροφόρηση στην Ευρώπη</w:t>
      </w:r>
      <w:r w:rsidRPr="00E23C05" w:rsidR="00B265ED">
        <w:t>·</w:t>
      </w:r>
      <w:r w:rsidR="00B265ED">
        <w:t xml:space="preserve"> </w:t>
      </w:r>
      <w:r w:rsidRPr="00B265ED" w:rsidR="00B265ED">
        <w:t>ζητεί να συμπεριληφθούν τα άτομα αυτά στον κατάλογο των ατόμων στα οποία έχουν επιβληθεί κυρώσεις, στο επόμενο πακέτο κυρώσεων·</w:t>
      </w:r>
    </w:p>
    <w:p w:rsidR="0024196E" w:rsidRPr="00E23C05" w:rsidP="004525F4" w14:paraId="3EEA81DA" w14:textId="4B391B05">
      <w:pPr>
        <w:pStyle w:val="NormalHanging12a"/>
        <w:ind w:hanging="570"/>
        <w:rPr>
          <w:rFonts w:eastAsia="Aptos"/>
          <w:kern w:val="2"/>
          <w14:ligatures w14:val="standardContextual"/>
        </w:rPr>
      </w:pPr>
      <w:bookmarkStart w:id="8" w:name="_Hlk232495916"/>
      <w:r w:rsidRPr="00E23C05">
        <w:rPr>
          <w:rFonts w:eastAsia="Aptos"/>
          <w:kern w:val="2"/>
          <w14:ligatures w14:val="standardContextual"/>
        </w:rPr>
        <w:t>20.</w:t>
      </w:r>
      <w:r w:rsidRPr="00E23C05">
        <w:rPr>
          <w:rFonts w:eastAsia="Aptos"/>
          <w:kern w:val="2"/>
          <w14:ligatures w14:val="standardContextual"/>
        </w:rPr>
        <w:tab/>
      </w:r>
      <w:r w:rsidRPr="00E23C05">
        <w:t>καλεί την ΕΕ και τα κράτη μέλη της να διασφαλίσουν τη δέουσα χρηματοδότηση για την κατασκευή και την ανακαίνιση αντιαεροπορικών καταφυγίων για αμάχους στην ανατολική πτέρυγα και σε άλλα κράτη μέλη της ΕΕ, και να πραγματοποιήσουν πανευρωπαϊκές ενημερωτικές εκστρατείες και ασκήσεις για τους πολίτες προκειμένου να τους ενημερώσουν για το πώς πρέπει να ενεργήσουν σε περίπτωση αεροπορικής επιδρομής ή παρόμοιας κατάστασης κρίσης</w:t>
      </w:r>
      <w:bookmarkEnd w:id="8"/>
      <w:r w:rsidRPr="00E23C05">
        <w:t>· θεωρεί ότι η προστασία των άμαχων πληθυσμών της ΕΕ έναντι εναέριων απειλών πρέπει να αντιμετωπίζεται ως αναπόσπαστο στοιχείο της ευρωπαϊκής αμυντικής ετοιμότητας, προετοιμασίας και ανθεκτικότητας· τονίζει την επείγουσα ανάγκη να αυξηθεί η χρηματοδότηση προγραμμάτων και έργων ασφάλειας και άμυνας, με ιδιαίτερη έμφαση στις χώρες της ανατολικής πτέρυγας, στο επόμενο πολυετές δημοσιονομικό πλαίσιο· καλεί την ΕΕ και τα κράτη μέλη της να υιοθετήσουν μια ολοκληρωμένη προσέγγιση για το σύνολο της κοινωνίας, αναγνωρίζοντας ότι η διαρκής ασφάλεια απαιτεί όχι μόνο επαρκείς στρατιωτικές ικανότητες, αλλά και κοινωνική συνοχή, οικονομική ανθεκτικότητα, δημοκρατική σταθερότητα και ισχυρές δημόσιες υπηρεσίες·</w:t>
      </w:r>
    </w:p>
    <w:p w:rsidR="0024196E" w:rsidRPr="00E23C05" w:rsidP="004525F4" w14:paraId="45844EA1" w14:textId="6A2FEA36">
      <w:pPr>
        <w:pStyle w:val="NormalHanging12a"/>
        <w:ind w:hanging="570"/>
        <w:rPr>
          <w:rFonts w:eastAsia="Aptos"/>
          <w:kern w:val="2"/>
          <w14:ligatures w14:val="standardContextual"/>
        </w:rPr>
      </w:pPr>
      <w:r w:rsidRPr="00E23C05">
        <w:rPr>
          <w:rFonts w:eastAsia="Aptos"/>
          <w:kern w:val="2"/>
          <w14:ligatures w14:val="standardContextual"/>
        </w:rPr>
        <w:t>21.</w:t>
      </w:r>
      <w:r w:rsidRPr="00E23C05">
        <w:rPr>
          <w:rFonts w:eastAsia="Aptos"/>
          <w:kern w:val="2"/>
          <w14:ligatures w14:val="standardContextual"/>
        </w:rPr>
        <w:tab/>
      </w:r>
      <w:r w:rsidRPr="00E23C05">
        <w:t>υπογραμμίζει ότι η Ουκρανία έχει αναπτύξει απαράμιλλη επιχειρησιακή και βιομηχανική εμπειρογνωμοσύνη στην παραγωγή δρόνων και στα συστήματα απόκρουσης δρόνων· θεωρεί, συνεπώς, ότι η εμβάθυνση της αμυντικής βιομηχανικής συνεργασίας ΕΕ-Ουκρανίας σε αυτόν τον τομέα αποτελεί στρατηγική επιταγή· ζητεί από την ΕΕ και τα κράτη μέλη της να ενσωματώσουν πλήρως την ουκρανική εμπειρογνωμοσύνη και βιομηχανική ικανότητα στην ανάπτυξη ευρωπαϊκών ικανοτήτων για την αντιμετώπιση μη συμβατικών εναέριων απειλών·</w:t>
      </w:r>
    </w:p>
    <w:p w:rsidR="0024196E" w:rsidRPr="00E23C05" w:rsidP="004525F4" w14:paraId="7FC9466F" w14:textId="318C3091">
      <w:pPr>
        <w:pStyle w:val="NormalHanging12a"/>
        <w:ind w:hanging="570"/>
      </w:pPr>
      <w:r w:rsidRPr="00E23C05">
        <w:t>22.</w:t>
      </w:r>
      <w:r w:rsidRPr="00E23C05">
        <w:tab/>
      </w:r>
      <w:r w:rsidRPr="00E23C05">
        <w:t>τονίζει ότι για την αντιμετώπιση των απειλών από δρόνους που προέρχονται από τη Ρωσία, η συνεργασία με τη Δημοκρατία της Μολδαβίας —μαζί με την Ουκρανία— είναι απαραίτητη όσον αφορά την επιχειρησιακή αποδοτικότητα, την επίγνωση της κατάστασης και την ανταλλαγή πληροφοριών· καλεί, ως εκ τούτου, τα κράτη μέλη να αυξήσουν τη χρηματοδότηση για τη Μολδαβία μέσω του Ευρωπαϊκού Μηχανισμού για την Ειρήνη, λαμβανομένων επίσης υπόψη των επανειλημμένων παραβιάσεων του εναέριου χώρου της Μολδαβίας από ρωσικούς δρόνους και πυραύλους· ζητεί περαιτέρω από τα κράτη μέλη να συμπεριλάβουν τη Μολδαβία και την Ουκρανία σε κοινές προμήθειες·</w:t>
      </w:r>
    </w:p>
    <w:p w:rsidR="0024196E" w:rsidRPr="00E23C05" w:rsidP="004525F4" w14:paraId="67A00942" w14:textId="3F90D019">
      <w:pPr>
        <w:pStyle w:val="NormalHanging12a"/>
        <w:ind w:hanging="570"/>
        <w:rPr>
          <w:rFonts w:eastAsia="Aptos"/>
          <w:kern w:val="2"/>
          <w14:ligatures w14:val="standardContextual"/>
        </w:rPr>
      </w:pPr>
      <w:r w:rsidRPr="00E23C05">
        <w:rPr>
          <w:rFonts w:eastAsia="Aptos"/>
          <w:kern w:val="2"/>
          <w14:ligatures w14:val="standardContextual"/>
        </w:rPr>
        <w:t>23.</w:t>
      </w:r>
      <w:r w:rsidRPr="00E23C05">
        <w:rPr>
          <w:rFonts w:eastAsia="Aptos"/>
          <w:kern w:val="2"/>
          <w14:ligatures w14:val="standardContextual"/>
        </w:rPr>
        <w:tab/>
      </w:r>
      <w:r w:rsidRPr="00E23C05">
        <w:t xml:space="preserve">καλεί τα κράτη μέλη να υλοποιήσουν επειγόντως τις ικανότητες προτεραιότητας που προσδιορίζονται στη Λευκή Βίβλο για την ευρωπαϊκή αμυντική ετοιμότητα έως το 2030, ιδίως όσον αφορά την αεράμυνα και την αντιπυραυλική άμυνα, καθώς και τους δρόνους και τα συστήματα απόκρουσης δρόνων· </w:t>
      </w:r>
      <w:r w:rsidRPr="00E23C05">
        <w:rPr>
          <w:rStyle w:val="normaltextrun"/>
          <w:color w:val="000000"/>
        </w:rPr>
        <w:t>καλεί τα κράτη μέλη να θεσπίσουν ταχέως κοινά, πολυεπίπεδα και οικονομικά αποδοτικά αμυντικά συστήματα απόκρουσης δρόνων, αρχής γενομένης από την ανατολική πτέρυγα, ικανά να εντοπίζουν και να αναχαιτίζουν από αέρος και θαλάσσης απειλές από χώρες εκτός της ΕΕ,</w:t>
      </w:r>
      <w:r w:rsidRPr="00E23C05">
        <w:t xml:space="preserve"> μεταξύ άλλων μέσω ενισχυμένης εναέριας και θαλάσσιας εποπτείας, συστημάτων έγκαιρης προειδοποίησης, μέσων ταχείας αντίδρασης και βελτιωμένων υποδομών στρατιωτικής κινητικότητας</w:t>
      </w:r>
      <w:r w:rsidRPr="00E23C05">
        <w:rPr>
          <w:rStyle w:val="normaltextrun"/>
          <w:color w:val="000000"/>
        </w:rPr>
        <w:t>·</w:t>
      </w:r>
    </w:p>
    <w:p w:rsidR="0024196E" w:rsidRPr="00E23C05" w:rsidP="004525F4" w14:paraId="0190096A" w14:textId="2F753C23">
      <w:pPr>
        <w:pStyle w:val="NormalHanging12a"/>
        <w:ind w:hanging="570"/>
        <w:rPr>
          <w:rFonts w:eastAsia="Aptos"/>
          <w:kern w:val="2"/>
          <w14:ligatures w14:val="standardContextual"/>
        </w:rPr>
      </w:pPr>
      <w:r w:rsidRPr="00E23C05">
        <w:rPr>
          <w:rFonts w:eastAsia="Aptos"/>
          <w:kern w:val="2"/>
          <w14:ligatures w14:val="standardContextual"/>
        </w:rPr>
        <w:t>24.</w:t>
      </w:r>
      <w:r w:rsidRPr="00E23C05">
        <w:rPr>
          <w:rFonts w:eastAsia="Aptos"/>
          <w:kern w:val="2"/>
          <w14:ligatures w14:val="standardContextual"/>
        </w:rPr>
        <w:tab/>
      </w:r>
      <w:r w:rsidRPr="00E23C05">
        <w:t>ζητεί τη δημιουργία ενός ευρωπαϊκού κέντρου αριστείας για τη διεξαγωγή πολέμου με χρήση δρόνων, στο οποίο Ουκρανοί εκπαιδευτές θα μεταλαμπαδεύουν την τεχνογνωσία τους στα κράτη μέλη της ΕΕ·</w:t>
      </w:r>
    </w:p>
    <w:p w:rsidR="0024196E" w:rsidRPr="00E23C05" w:rsidP="004525F4" w14:paraId="0DC5D238" w14:textId="26AF55A4">
      <w:pPr>
        <w:pStyle w:val="NormalHanging12a"/>
        <w:ind w:hanging="570"/>
        <w:rPr>
          <w:rFonts w:eastAsia="Aptos"/>
          <w:kern w:val="2"/>
          <w14:ligatures w14:val="standardContextual"/>
        </w:rPr>
      </w:pPr>
      <w:r w:rsidRPr="00E23C05">
        <w:rPr>
          <w:rFonts w:eastAsia="Aptos"/>
          <w:kern w:val="2"/>
          <w14:ligatures w14:val="standardContextual"/>
        </w:rPr>
        <w:t>25.</w:t>
      </w:r>
      <w:r w:rsidRPr="00E23C05">
        <w:rPr>
          <w:rFonts w:eastAsia="Aptos"/>
          <w:kern w:val="2"/>
          <w14:ligatures w14:val="standardContextual"/>
        </w:rPr>
        <w:tab/>
      </w:r>
      <w:r w:rsidRPr="00E23C05">
        <w:t>ζητεί την πλήρη και ταχεία εφαρμογή της ευρωπαϊκής πρωτοβουλίας άμυνας έναντι δρόνων και του παρατηρητηρίου της ανατολικής πτέρυγας· καλεί τα κράτη μέλη να συμμετάσχουν ενεργά και να συνεισφέρουν και στις δύο πρωτοβουλίες σε στενό συντονισμό με το ΝΑΤΟ·</w:t>
      </w:r>
    </w:p>
    <w:p w:rsidR="00E23C05" w:rsidRPr="00E23C05" w:rsidP="004525F4" w14:paraId="791E7659" w14:textId="7F45753B">
      <w:pPr>
        <w:pStyle w:val="NormalHanging12a"/>
        <w:ind w:hanging="570"/>
      </w:pPr>
      <w:r w:rsidRPr="00E23C05">
        <w:t>26.</w:t>
      </w:r>
      <w:r w:rsidRPr="00E23C05">
        <w:tab/>
      </w:r>
      <w:r w:rsidRPr="00E23C05" w:rsidR="0024196E">
        <w:t>αναθέτει στην Πρόεδρό του να διαβιβάσει το παρόν ψήφισμα στο Συμβούλιο, στην Επιτροπή, στις κυβερνήσεις και τα κοινοβούλια των κρατών μελών, στον Γενικό Γραμματέα του ΝΑΤΟ, στην UNESCO, στον Οργανισμό για την Ασφάλεια και τη Συνεργασία στην Ευρώπη, στο Συμβούλιο της Ευρώπης, στον Πρόεδρο, την Κυβέρνηση και το Κοινοβούλιο της Ουκρανίας (</w:t>
      </w:r>
      <w:r w:rsidRPr="00E23C05" w:rsidR="0024196E">
        <w:t>Verkhovna</w:t>
      </w:r>
      <w:r w:rsidRPr="00E23C05" w:rsidR="0024196E">
        <w:t xml:space="preserve"> </w:t>
      </w:r>
      <w:r w:rsidRPr="00E23C05" w:rsidR="0024196E">
        <w:t>Rada</w:t>
      </w:r>
      <w:r w:rsidRPr="00E23C05" w:rsidR="0024196E">
        <w:t xml:space="preserve">), στις ρωσικές αρχές και στις de facto αρχές του καθεστώτος </w:t>
      </w:r>
      <w:r w:rsidRPr="00E23C05" w:rsidR="0024196E">
        <w:t>Lukashenka</w:t>
      </w:r>
      <w:r w:rsidRPr="00E23C05" w:rsidR="0024196E">
        <w:t>.</w:t>
      </w:r>
    </w:p>
    <w:p w:rsidR="00E365E1" w:rsidRPr="00E23C05" w:rsidP="008E14F7" w14:paraId="306FF722" w14:textId="771583C0"/>
    <w:sectPr w:rsidSect="00E23C0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3C05" w14:paraId="719DE45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3C05" w14:paraId="5B0E559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3C05" w14:paraId="7157656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E14F7" w:rsidRPr="00E23C05" w14:paraId="22D08985" w14:textId="77777777">
      <w:r w:rsidRPr="00E23C05">
        <w:separator/>
      </w:r>
    </w:p>
  </w:footnote>
  <w:footnote w:type="continuationSeparator" w:id="1">
    <w:p w:rsidR="008E14F7" w:rsidRPr="00E23C05" w14:paraId="516A38CB" w14:textId="77777777">
      <w:r w:rsidRPr="00E23C05">
        <w:continuationSeparator/>
      </w:r>
    </w:p>
  </w:footnote>
  <w:footnote w:id="2">
    <w:p w:rsidR="0024196E" w:rsidRPr="004525F4" w:rsidP="00E23C05" w14:paraId="18497878" w14:textId="18A7D546">
      <w:pPr>
        <w:pStyle w:val="FootnoteText"/>
        <w:ind w:left="567" w:hanging="567"/>
        <w:rPr>
          <w:sz w:val="24"/>
          <w:lang w:val="fi-FI"/>
        </w:rPr>
      </w:pPr>
      <w:r w:rsidRPr="00E23C05">
        <w:rPr>
          <w:rStyle w:val="FootnoteReference"/>
          <w:sz w:val="24"/>
          <w:lang w:val="el-GR"/>
        </w:rPr>
        <w:footnoteRef/>
      </w:r>
      <w:r w:rsidRPr="004525F4" w:rsidR="00E23C05">
        <w:rPr>
          <w:sz w:val="24"/>
          <w:lang w:val="fi-FI"/>
        </w:rPr>
        <w:t xml:space="preserve"> </w:t>
      </w:r>
      <w:r w:rsidRPr="004525F4" w:rsidR="00E23C05">
        <w:rPr>
          <w:sz w:val="24"/>
          <w:lang w:val="fi-FI"/>
        </w:rPr>
        <w:tab/>
      </w:r>
      <w:r w:rsidRPr="00E23C05">
        <w:rPr>
          <w:sz w:val="24"/>
          <w:lang w:val="el-GR"/>
        </w:rPr>
        <w:t>ΕΕ</w:t>
      </w:r>
      <w:r w:rsidRPr="004525F4">
        <w:rPr>
          <w:sz w:val="24"/>
          <w:lang w:val="fi-FI"/>
        </w:rPr>
        <w:t xml:space="preserve"> C, C/2026/1530, 15.4.2026, ELI: </w:t>
      </w:r>
      <w:hyperlink r:id="rId1" w:history="1">
        <w:r w:rsidRPr="004525F4">
          <w:rPr>
            <w:rStyle w:val="Hyperlink"/>
            <w:sz w:val="24"/>
            <w:lang w:val="fi-FI"/>
          </w:rPr>
          <w:t>http://data.europa.eu/eli/C/2026/1530/oj</w:t>
        </w:r>
      </w:hyperlink>
      <w:r w:rsidRPr="004525F4">
        <w:rPr>
          <w:sz w:val="24"/>
          <w:lang w:val="fi-FI"/>
        </w:rPr>
        <w:t xml:space="preserve">. </w:t>
      </w:r>
    </w:p>
  </w:footnote>
  <w:footnote w:id="3">
    <w:p w:rsidR="0024196E" w:rsidRPr="004525F4" w:rsidP="00E23C05" w14:paraId="559F63C4" w14:textId="141673B2">
      <w:pPr>
        <w:pStyle w:val="FootnoteText"/>
        <w:ind w:left="567" w:hanging="567"/>
        <w:rPr>
          <w:sz w:val="24"/>
          <w:lang w:val="fi-FI"/>
        </w:rPr>
      </w:pPr>
      <w:r w:rsidRPr="00E23C05">
        <w:rPr>
          <w:rStyle w:val="FootnoteReference"/>
          <w:sz w:val="24"/>
          <w:lang w:val="el-GR"/>
        </w:rPr>
        <w:footnoteRef/>
      </w:r>
      <w:r w:rsidRPr="004525F4" w:rsidR="00E23C05">
        <w:rPr>
          <w:sz w:val="24"/>
          <w:lang w:val="fi-FI"/>
        </w:rPr>
        <w:t xml:space="preserve"> </w:t>
      </w:r>
      <w:r w:rsidRPr="004525F4" w:rsidR="00E23C05">
        <w:rPr>
          <w:sz w:val="24"/>
          <w:lang w:val="fi-FI"/>
        </w:rPr>
        <w:tab/>
      </w:r>
      <w:r w:rsidRPr="00E23C05">
        <w:rPr>
          <w:sz w:val="24"/>
          <w:lang w:val="el-GR"/>
        </w:rPr>
        <w:t>ΕΕ</w:t>
      </w:r>
      <w:r w:rsidRPr="004525F4">
        <w:rPr>
          <w:sz w:val="24"/>
          <w:lang w:val="fi-FI"/>
        </w:rPr>
        <w:t xml:space="preserve"> C, C/2025/3151, 20.6.2025, ELI: </w:t>
      </w:r>
      <w:hyperlink r:id="rId2" w:history="1">
        <w:r w:rsidRPr="004525F4">
          <w:rPr>
            <w:rStyle w:val="Hyperlink"/>
            <w:sz w:val="24"/>
            <w:lang w:val="fi-FI"/>
          </w:rPr>
          <w:t>http://data.europa.eu/eli/C/2025/3151/oj</w:t>
        </w:r>
      </w:hyperlink>
      <w:r w:rsidRPr="004525F4">
        <w:rPr>
          <w:sz w:val="24"/>
          <w:lang w:val="fi-FI"/>
        </w:rPr>
        <w:t>.</w:t>
      </w:r>
    </w:p>
  </w:footnote>
  <w:footnote w:id="4">
    <w:p w:rsidR="0024196E" w:rsidRPr="00E23C05" w:rsidP="00E23C05" w14:paraId="5EC33DAD" w14:textId="1565D913">
      <w:pPr>
        <w:pStyle w:val="FootnoteText"/>
        <w:ind w:left="567" w:hanging="567"/>
        <w:rPr>
          <w:sz w:val="24"/>
          <w:lang w:val="el-GR"/>
        </w:rPr>
      </w:pPr>
      <w:r w:rsidRPr="00E23C05">
        <w:rPr>
          <w:rStyle w:val="FootnoteReference"/>
          <w:sz w:val="24"/>
          <w:lang w:val="el-GR"/>
        </w:rPr>
        <w:footnoteRef/>
      </w:r>
      <w:r w:rsidRPr="00E23C05" w:rsidR="00E23C05">
        <w:rPr>
          <w:sz w:val="24"/>
          <w:lang w:val="el-GR"/>
        </w:rPr>
        <w:t xml:space="preserve"> </w:t>
      </w:r>
      <w:r w:rsidRPr="00E23C05" w:rsidR="00E23C05">
        <w:rPr>
          <w:sz w:val="24"/>
          <w:lang w:val="el-GR"/>
        </w:rPr>
        <w:tab/>
      </w:r>
      <w:r w:rsidRPr="00E23C05">
        <w:rPr>
          <w:sz w:val="24"/>
          <w:lang w:val="el-GR"/>
        </w:rPr>
        <w:t>C(2025)7552.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3C05" w14:paraId="409A85F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3C05" w14:paraId="094D124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3C05" w14:paraId="5E56012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2176701"/>
    <w:multiLevelType w:val="hybridMultilevel"/>
    <w:tmpl w:val="BB7CFE7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4391A09"/>
    <w:multiLevelType w:val="hybridMultilevel"/>
    <w:tmpl w:val="129AE5DA"/>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5897465">
    <w:abstractNumId w:val="9"/>
  </w:num>
  <w:num w:numId="2" w16cid:durableId="1454447693">
    <w:abstractNumId w:val="9"/>
  </w:num>
  <w:num w:numId="3" w16cid:durableId="1518733827">
    <w:abstractNumId w:val="7"/>
  </w:num>
  <w:num w:numId="4" w16cid:durableId="1598323225">
    <w:abstractNumId w:val="7"/>
  </w:num>
  <w:num w:numId="5" w16cid:durableId="1958219332">
    <w:abstractNumId w:val="6"/>
  </w:num>
  <w:num w:numId="6" w16cid:durableId="2034453150">
    <w:abstractNumId w:val="6"/>
  </w:num>
  <w:num w:numId="7" w16cid:durableId="1904556624">
    <w:abstractNumId w:val="5"/>
  </w:num>
  <w:num w:numId="8" w16cid:durableId="1199464952">
    <w:abstractNumId w:val="5"/>
  </w:num>
  <w:num w:numId="9" w16cid:durableId="304623519">
    <w:abstractNumId w:val="4"/>
  </w:num>
  <w:num w:numId="10" w16cid:durableId="998265786">
    <w:abstractNumId w:val="4"/>
  </w:num>
  <w:num w:numId="11" w16cid:durableId="1226530528">
    <w:abstractNumId w:val="8"/>
  </w:num>
  <w:num w:numId="12" w16cid:durableId="1364089552">
    <w:abstractNumId w:val="8"/>
  </w:num>
  <w:num w:numId="13" w16cid:durableId="1091514508">
    <w:abstractNumId w:val="3"/>
  </w:num>
  <w:num w:numId="14" w16cid:durableId="781338459">
    <w:abstractNumId w:val="3"/>
  </w:num>
  <w:num w:numId="15" w16cid:durableId="1716541409">
    <w:abstractNumId w:val="2"/>
  </w:num>
  <w:num w:numId="16" w16cid:durableId="659583586">
    <w:abstractNumId w:val="2"/>
  </w:num>
  <w:num w:numId="17" w16cid:durableId="246965774">
    <w:abstractNumId w:val="1"/>
  </w:num>
  <w:num w:numId="18" w16cid:durableId="227082579">
    <w:abstractNumId w:val="1"/>
  </w:num>
  <w:num w:numId="19" w16cid:durableId="464666448">
    <w:abstractNumId w:val="0"/>
  </w:num>
  <w:num w:numId="20" w16cid:durableId="1478499375">
    <w:abstractNumId w:val="0"/>
  </w:num>
  <w:num w:numId="21" w16cid:durableId="1034386220">
    <w:abstractNumId w:val="9"/>
  </w:num>
  <w:num w:numId="22" w16cid:durableId="1685475204">
    <w:abstractNumId w:val="7"/>
  </w:num>
  <w:num w:numId="23" w16cid:durableId="1370103323">
    <w:abstractNumId w:val="6"/>
  </w:num>
  <w:num w:numId="24" w16cid:durableId="944313176">
    <w:abstractNumId w:val="5"/>
  </w:num>
  <w:num w:numId="25" w16cid:durableId="332685082">
    <w:abstractNumId w:val="4"/>
  </w:num>
  <w:num w:numId="26" w16cid:durableId="1234854731">
    <w:abstractNumId w:val="8"/>
  </w:num>
  <w:num w:numId="27" w16cid:durableId="705837725">
    <w:abstractNumId w:val="3"/>
  </w:num>
  <w:num w:numId="28" w16cid:durableId="1909922600">
    <w:abstractNumId w:val="2"/>
  </w:num>
  <w:num w:numId="29" w16cid:durableId="1867718042">
    <w:abstractNumId w:val="1"/>
  </w:num>
  <w:num w:numId="30" w16cid:durableId="1508325716">
    <w:abstractNumId w:val="0"/>
  </w:num>
  <w:num w:numId="31" w16cid:durableId="150296657">
    <w:abstractNumId w:val="9"/>
  </w:num>
  <w:num w:numId="32" w16cid:durableId="298732008">
    <w:abstractNumId w:val="7"/>
  </w:num>
  <w:num w:numId="33" w16cid:durableId="1196230826">
    <w:abstractNumId w:val="6"/>
  </w:num>
  <w:num w:numId="34" w16cid:durableId="898394691">
    <w:abstractNumId w:val="5"/>
  </w:num>
  <w:num w:numId="35" w16cid:durableId="685599190">
    <w:abstractNumId w:val="4"/>
  </w:num>
  <w:num w:numId="36" w16cid:durableId="528642559">
    <w:abstractNumId w:val="8"/>
  </w:num>
  <w:num w:numId="37" w16cid:durableId="1874344377">
    <w:abstractNumId w:val="3"/>
  </w:num>
  <w:num w:numId="38" w16cid:durableId="1255935356">
    <w:abstractNumId w:val="2"/>
  </w:num>
  <w:num w:numId="39" w16cid:durableId="460156439">
    <w:abstractNumId w:val="1"/>
  </w:num>
  <w:num w:numId="40" w16cid:durableId="1072697648">
    <w:abstractNumId w:val="0"/>
  </w:num>
  <w:num w:numId="41" w16cid:durableId="13114400">
    <w:abstractNumId w:val="10"/>
  </w:num>
  <w:num w:numId="42" w16cid:durableId="1742870455">
    <w:abstractNumId w:val="10"/>
  </w:num>
  <w:num w:numId="43" w16cid:durableId="924148125">
    <w:abstractNumId w:val="10"/>
  </w:num>
  <w:num w:numId="44" w16cid:durableId="1711758308">
    <w:abstractNumId w:val="13"/>
  </w:num>
  <w:num w:numId="45" w16cid:durableId="1727874814">
    <w:abstractNumId w:val="11"/>
  </w:num>
  <w:num w:numId="46" w16cid:durableId="6275145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4F7"/>
    <w:rsid w:val="00002272"/>
    <w:rsid w:val="00064002"/>
    <w:rsid w:val="000677B9"/>
    <w:rsid w:val="000831BA"/>
    <w:rsid w:val="000A42CC"/>
    <w:rsid w:val="000E7DD9"/>
    <w:rsid w:val="0010095E"/>
    <w:rsid w:val="00125B37"/>
    <w:rsid w:val="00187494"/>
    <w:rsid w:val="001F32AE"/>
    <w:rsid w:val="0024196E"/>
    <w:rsid w:val="002767FF"/>
    <w:rsid w:val="002B18FE"/>
    <w:rsid w:val="002B5493"/>
    <w:rsid w:val="00343214"/>
    <w:rsid w:val="00361C00"/>
    <w:rsid w:val="00395FA1"/>
    <w:rsid w:val="003E15D4"/>
    <w:rsid w:val="00410BB0"/>
    <w:rsid w:val="00411CCE"/>
    <w:rsid w:val="0041666E"/>
    <w:rsid w:val="00421060"/>
    <w:rsid w:val="004525F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3BF4"/>
    <w:rsid w:val="00817416"/>
    <w:rsid w:val="00842779"/>
    <w:rsid w:val="00865F67"/>
    <w:rsid w:val="00881A7B"/>
    <w:rsid w:val="008840E5"/>
    <w:rsid w:val="00887B3E"/>
    <w:rsid w:val="008C2AC6"/>
    <w:rsid w:val="008E14F7"/>
    <w:rsid w:val="00930C23"/>
    <w:rsid w:val="0093193B"/>
    <w:rsid w:val="0095050C"/>
    <w:rsid w:val="009509D8"/>
    <w:rsid w:val="00950B64"/>
    <w:rsid w:val="00981893"/>
    <w:rsid w:val="00A1687D"/>
    <w:rsid w:val="00A43E52"/>
    <w:rsid w:val="00A4678D"/>
    <w:rsid w:val="00A778C7"/>
    <w:rsid w:val="00AB441E"/>
    <w:rsid w:val="00AB6293"/>
    <w:rsid w:val="00AE0928"/>
    <w:rsid w:val="00AF3B82"/>
    <w:rsid w:val="00B12E95"/>
    <w:rsid w:val="00B22876"/>
    <w:rsid w:val="00B265ED"/>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3C05"/>
    <w:rsid w:val="00E365E1"/>
    <w:rsid w:val="00E820A4"/>
    <w:rsid w:val="00EB006A"/>
    <w:rsid w:val="00EB4772"/>
    <w:rsid w:val="00ED169E"/>
    <w:rsid w:val="00ED4235"/>
    <w:rsid w:val="00F04346"/>
    <w:rsid w:val="00F075DC"/>
    <w:rsid w:val="00F149E9"/>
    <w:rsid w:val="00F271C2"/>
    <w:rsid w:val="00F5134D"/>
    <w:rsid w:val="00F74202"/>
    <w:rsid w:val="00F87713"/>
    <w:rsid w:val="00FB4360"/>
    <w:rsid w:val="00FB51E9"/>
    <w:rsid w:val="00FD0C70"/>
  </w:rsids>
  <w:docVars>
    <w:docVar w:name="dvdocse" w:val="B10-0304/2026"/>
    <w:docVar w:name="dvlangue" w:val="EL"/>
    <w:docVar w:name="dvnumam" w:val="0"/>
    <w:docVar w:name="dvpe" w:val="783.361"/>
    <w:docVar w:name="dvtitre" w:val="Ψήφισμα του Ευρωπαϊκού Κοινοβουλίου της ... 2026 σχετικά με τις απαράδεκτες προκλητικές ενέργειες της Ρωσίας και τις ρωσικές επιδρομές με δρόνους στη Ρουμανία, τις χώρες της Βαλτικής και τη Φινλανδία(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4535C64"/>
  <w15:chartTrackingRefBased/>
  <w15:docId w15:val="{DE094D3E-354E-4828-853D-058ED0C0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4196E"/>
    <w:pPr>
      <w:spacing w:after="240"/>
      <w:ind w:left="567" w:hanging="567"/>
    </w:pPr>
  </w:style>
  <w:style w:type="paragraph" w:customStyle="1" w:styleId="EPComma">
    <w:name w:val="EPComma"/>
    <w:basedOn w:val="Normal"/>
    <w:link w:val="EPCommaChar"/>
    <w:rsid w:val="0024196E"/>
    <w:pPr>
      <w:spacing w:before="480" w:after="240"/>
    </w:pPr>
  </w:style>
  <w:style w:type="character" w:customStyle="1" w:styleId="EPCommaChar">
    <w:name w:val="EPComma Char"/>
    <w:basedOn w:val="DefaultParagraphFont"/>
    <w:link w:val="EPComma"/>
    <w:rsid w:val="0024196E"/>
    <w:rPr>
      <w:sz w:val="24"/>
      <w:lang w:val="el-GR"/>
    </w:rPr>
  </w:style>
  <w:style w:type="character" w:customStyle="1" w:styleId="normaltextrun">
    <w:name w:val="normaltextrun"/>
    <w:basedOn w:val="DefaultParagraphFont"/>
    <w:rsid w:val="0024196E"/>
  </w:style>
  <w:style w:type="character" w:styleId="Hyperlink">
    <w:name w:val="Hyperlink"/>
    <w:basedOn w:val="DefaultParagraphFont"/>
    <w:rsid w:val="0024196E"/>
    <w:rPr>
      <w:color w:val="0563C1" w:themeColor="hyperlink"/>
      <w:u w:val="single"/>
    </w:rPr>
  </w:style>
  <w:style w:type="paragraph" w:styleId="Revision">
    <w:name w:val="Revision"/>
    <w:hidden/>
    <w:uiPriority w:val="99"/>
    <w:semiHidden/>
    <w:rsid w:val="0095050C"/>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3493</Words>
  <Characters>21003</Characters>
  <Application>Microsoft Office Word</Application>
  <DocSecurity>0</DocSecurity>
  <Lines>175</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2026-06-18T12:34:00Z</dcterms:created>
  <dcterms:modified xsi:type="dcterms:W3CDTF">2026-06-18T12:34:00Z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B10-0304/2026</vt:lpwstr>
  </property>
  <property fmtid="{D5CDD505-2E9C-101B-9397-08002B2CF9AE}" pid="4" name="&lt;Type&gt;">
    <vt:lpwstr>RR</vt:lpwstr>
  </property>
</Properties>
</file>