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DB79A76" w14:textId="77777777" w:rsidTr="0010095E">
        <w:tblPrEx>
          <w:tblW w:w="9072" w:type="dxa"/>
          <w:tblLook w:val="01E0"/>
        </w:tblPrEx>
        <w:trPr>
          <w:trHeight w:hRule="exact" w:val="1418"/>
        </w:trPr>
        <w:tc>
          <w:tcPr>
            <w:tcW w:w="6804" w:type="dxa"/>
            <w:shd w:val="clear" w:color="auto" w:fill="auto"/>
            <w:vAlign w:val="center"/>
          </w:tcPr>
          <w:p w:rsidR="00751A4A" w:rsidRPr="00A86559" w:rsidP="0010095E" w14:paraId="71E2580C" w14:textId="469AA44F">
            <w:pPr>
              <w:pStyle w:val="EPName"/>
            </w:pPr>
            <w:r w:rsidRPr="00A86559">
              <w:t>Euroopan parlamentti</w:t>
            </w:r>
          </w:p>
          <w:p w:rsidR="00751A4A" w:rsidRPr="00A86559" w:rsidP="005F1B17" w14:paraId="1358B235" w14:textId="77777777">
            <w:pPr>
              <w:pStyle w:val="EPTerm"/>
              <w:rPr>
                <w:rStyle w:val="HideTWBExt"/>
                <w:noProof w:val="0"/>
                <w:vanish w:val="0"/>
                <w:color w:val="auto"/>
              </w:rPr>
            </w:pPr>
            <w:r w:rsidRPr="00A86559">
              <w:t>2024</w:t>
            </w:r>
            <w:r w:rsidRPr="00A86559" w:rsidR="00817416">
              <w:t>-202</w:t>
            </w:r>
            <w:r w:rsidRPr="00A86559">
              <w:t>9</w:t>
            </w:r>
          </w:p>
        </w:tc>
        <w:tc>
          <w:tcPr>
            <w:tcW w:w="2268" w:type="dxa"/>
            <w:shd w:val="clear" w:color="auto" w:fill="auto"/>
          </w:tcPr>
          <w:p w:rsidR="00751A4A" w:rsidRPr="00A86559" w:rsidP="0010095E" w14:paraId="4CB959D2" w14:textId="77777777">
            <w:pPr>
              <w:pStyle w:val="EPLogo"/>
            </w:pPr>
            <w:r w:rsidRPr="00A8655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86559" w:rsidP="004C5D52" w14:paraId="07ADA485" w14:textId="77777777">
      <w:pPr>
        <w:pStyle w:val="LineTop"/>
      </w:pPr>
    </w:p>
    <w:p w:rsidR="00680577" w:rsidRPr="00A86559" w:rsidP="00680577" w14:paraId="2B8D3B57" w14:textId="110EF275">
      <w:pPr>
        <w:pStyle w:val="EPBodyTA1"/>
      </w:pPr>
      <w:r w:rsidRPr="00A86559">
        <w:t>HYVÄKSYTYT TEKSTIT</w:t>
      </w:r>
    </w:p>
    <w:p w:rsidR="00D058B8" w:rsidRPr="00A86559" w:rsidP="00D058B8" w14:paraId="642A34D9" w14:textId="77777777">
      <w:pPr>
        <w:pStyle w:val="LineBottom"/>
      </w:pPr>
    </w:p>
    <w:p w:rsidR="006F6F8C" w:rsidRPr="00A86559" w:rsidP="006F6F8C" w14:paraId="7111F1A7" w14:textId="10E85C31">
      <w:pPr>
        <w:pStyle w:val="ATHeading1"/>
      </w:pPr>
      <w:bookmarkStart w:id="0" w:name="TANumber"/>
      <w:r w:rsidRPr="00A86559">
        <w:t>P10_TA(2026)0</w:t>
      </w:r>
      <w:r w:rsidR="00D52F8C">
        <w:t>231</w:t>
      </w:r>
      <w:bookmarkEnd w:id="0"/>
    </w:p>
    <w:p w:rsidR="006F6F8C" w:rsidRPr="00A86559" w:rsidP="00BB5D2C" w14:paraId="2F2672AC" w14:textId="372D6696">
      <w:pPr>
        <w:pStyle w:val="ATHeading2"/>
      </w:pPr>
      <w:bookmarkStart w:id="1" w:name="title"/>
      <w:r w:rsidRPr="00BB5D2C">
        <w:rPr>
          <w:bCs/>
        </w:rPr>
        <w:t xml:space="preserve">Venäjän tuomittavat provokaatiot ja </w:t>
      </w:r>
      <w:r w:rsidRPr="00BB5D2C">
        <w:rPr>
          <w:bCs/>
        </w:rPr>
        <w:t>droonien</w:t>
      </w:r>
      <w:r w:rsidRPr="00BB5D2C">
        <w:rPr>
          <w:bCs/>
        </w:rPr>
        <w:t xml:space="preserve"> tunkeutuminen ilmatilaan Romaniassa, Baltian maissa</w:t>
      </w:r>
      <w:r>
        <w:rPr>
          <w:bCs/>
        </w:rPr>
        <w:t xml:space="preserve"> </w:t>
      </w:r>
      <w:r w:rsidRPr="00BB5D2C">
        <w:rPr>
          <w:bCs/>
        </w:rPr>
        <w:t>ja Suomessa</w:t>
      </w:r>
      <w:bookmarkEnd w:id="1"/>
    </w:p>
    <w:p w:rsidR="006F6F8C" w:rsidRPr="00A86559" w:rsidP="006F6F8C" w14:paraId="21661E73" w14:textId="0C240AAE">
      <w:pPr>
        <w:rPr>
          <w:i/>
          <w:vanish/>
        </w:rPr>
      </w:pPr>
      <w:r>
        <w:rPr>
          <w:i/>
        </w:rPr>
        <w:fldChar w:fldCharType="begin"/>
      </w:r>
      <w:r w:rsidRPr="00A86559">
        <w:rPr>
          <w:i/>
        </w:rPr>
        <w:instrText xml:space="preserve"> TC"(</w:instrText>
      </w:r>
      <w:bookmarkStart w:id="2" w:name="DocNumber"/>
      <w:r w:rsidRPr="00A86559">
        <w:rPr>
          <w:i/>
        </w:rPr>
        <w:instrText>B10-</w:instrText>
      </w:r>
      <w:r w:rsidRPr="00F5559D" w:rsidR="00BB5D2C">
        <w:rPr>
          <w:i/>
        </w:rPr>
        <w:instrText>0304</w:instrText>
      </w:r>
      <w:r w:rsidR="00BB5D2C">
        <w:rPr>
          <w:i/>
        </w:rPr>
        <w:instrText>, 0307, 0308, 0309 ja 0311</w:instrText>
      </w:r>
      <w:r w:rsidRPr="00A86559">
        <w:rPr>
          <w:i/>
        </w:rPr>
        <w:instrText>/2026</w:instrText>
      </w:r>
      <w:bookmarkEnd w:id="2"/>
      <w:r w:rsidRPr="00A86559">
        <w:rPr>
          <w:i/>
        </w:rPr>
        <w:instrText xml:space="preserve">)"\l3 \n&gt; \* MERGEFORMAT </w:instrText>
      </w:r>
      <w:r>
        <w:rPr>
          <w:i/>
        </w:rPr>
        <w:fldChar w:fldCharType="end"/>
      </w:r>
    </w:p>
    <w:p w:rsidR="006F6F8C" w:rsidRPr="00A86559" w:rsidP="006F6F8C" w14:paraId="4E400A31" w14:textId="77777777">
      <w:pPr>
        <w:rPr>
          <w:vanish/>
        </w:rPr>
      </w:pPr>
      <w:bookmarkStart w:id="3" w:name="PE"/>
      <w:r w:rsidRPr="00A86559">
        <w:rPr>
          <w:vanish/>
        </w:rPr>
        <w:t>PE783.361</w:t>
      </w:r>
      <w:bookmarkEnd w:id="3"/>
    </w:p>
    <w:p w:rsidR="006F6F8C" w:rsidRPr="00A86559" w:rsidP="006F6F8C" w14:paraId="6A57B220" w14:textId="77777777">
      <w:pPr>
        <w:pStyle w:val="ATHeading3"/>
      </w:pPr>
      <w:bookmarkStart w:id="4" w:name="Sujet"/>
      <w:r w:rsidRPr="00A86559">
        <w:t xml:space="preserve">Euroopan parlamentin päätöslauselma 18. kesäkuuta 2026 Venäjän tuomittavista provokaatioista ja </w:t>
      </w:r>
      <w:r w:rsidRPr="00A86559">
        <w:t>droonien</w:t>
      </w:r>
      <w:r w:rsidRPr="00A86559">
        <w:t xml:space="preserve"> tunkeutumisesta ilmatilaan Romaniassa, Baltian maissa ja Suomessa</w:t>
      </w:r>
      <w:bookmarkEnd w:id="4"/>
      <w:r w:rsidRPr="00A86559">
        <w:t xml:space="preserve"> </w:t>
      </w:r>
      <w:bookmarkStart w:id="5" w:name="References"/>
      <w:r w:rsidRPr="00A86559">
        <w:t>(2026/2772(RSP))</w:t>
      </w:r>
      <w:bookmarkEnd w:id="5"/>
    </w:p>
    <w:p w:rsidR="00AE62E0" w:rsidRPr="00A86559" w:rsidP="00CD0C6E" w14:paraId="0E87A8E6" w14:textId="77777777">
      <w:pPr>
        <w:pStyle w:val="EPComma"/>
        <w:widowControl/>
      </w:pPr>
      <w:bookmarkStart w:id="6" w:name="TextBodyBegin"/>
      <w:bookmarkEnd w:id="6"/>
      <w:r w:rsidRPr="00A86559">
        <w:rPr>
          <w:i/>
          <w:iCs/>
        </w:rPr>
        <w:t>Euroopan parlamentti</w:t>
      </w:r>
      <w:r w:rsidRPr="00A86559">
        <w:t>, joka</w:t>
      </w:r>
    </w:p>
    <w:p w:rsidR="00AE62E0" w:rsidRPr="00A86559" w:rsidP="00CD0C6E" w14:paraId="05674192" w14:textId="77777777">
      <w:pPr>
        <w:pStyle w:val="NormalHanging12a"/>
        <w:widowControl/>
      </w:pPr>
      <w:r w:rsidRPr="00A86559">
        <w:t>–</w:t>
      </w:r>
      <w:r w:rsidRPr="00A86559">
        <w:tab/>
        <w:t>ottaa huomioon aiemmat päätöslauselmansa Venäjästä ja Ukrainasta, erityisesti 9. lokakuuta 2025 antamansa päätöslauselman yhtenäisestä vastauksesta Venäjän äskettäin EU:n jäsenvaltioiden ilmatilaan ja kriittiseen infrastruktuuriin kohdistamiin loukkauksiin</w:t>
      </w:r>
      <w:r>
        <w:rPr>
          <w:rStyle w:val="FootnoteReference"/>
        </w:rPr>
        <w:footnoteReference w:id="2"/>
      </w:r>
      <w:r w:rsidRPr="00A86559">
        <w:t>,</w:t>
      </w:r>
    </w:p>
    <w:p w:rsidR="00AE62E0" w:rsidRPr="00A86559" w:rsidP="00CD0C6E" w14:paraId="654B327D" w14:textId="77777777">
      <w:pPr>
        <w:pStyle w:val="NormalHanging12a"/>
        <w:widowControl/>
        <w:rPr>
          <w:rFonts w:eastAsia="Aptos"/>
          <w:kern w:val="2"/>
          <w14:ligatures w14:val="standardContextual"/>
        </w:rPr>
      </w:pPr>
      <w:r w:rsidRPr="00A86559">
        <w:t>–</w:t>
      </w:r>
      <w:r w:rsidRPr="00A86559">
        <w:tab/>
        <w:t>ottaa huomioon YK:n peruskirjan ja kansainvälisen oikeuden perusperiaatteet,</w:t>
      </w:r>
    </w:p>
    <w:p w:rsidR="00AE62E0" w:rsidRPr="00A86559" w:rsidP="00CD0C6E" w14:paraId="10DCC4F2" w14:textId="77777777">
      <w:pPr>
        <w:pStyle w:val="NormalHanging12a"/>
        <w:widowControl/>
        <w:rPr>
          <w:rFonts w:eastAsia="Aptos"/>
          <w:kern w:val="2"/>
          <w14:ligatures w14:val="standardContextual"/>
        </w:rPr>
      </w:pPr>
      <w:r w:rsidRPr="00A86559">
        <w:t>–</w:t>
      </w:r>
      <w:r w:rsidRPr="00A86559">
        <w:tab/>
        <w:t>ottaa huomioon Euroopan unionista tehdyn sopimuksen (SEU), erityisesti sen 24 artiklan 3 kohdan, 42 artiklan 7 kohdan ja 222 artiklan,</w:t>
      </w:r>
    </w:p>
    <w:p w:rsidR="00AE62E0" w:rsidRPr="00A86559" w:rsidP="00CD0C6E" w14:paraId="007C4219" w14:textId="77777777">
      <w:pPr>
        <w:pStyle w:val="NormalHanging12a"/>
        <w:widowControl/>
        <w:rPr>
          <w:rFonts w:eastAsia="Aptos"/>
          <w:kern w:val="2"/>
          <w14:ligatures w14:val="standardContextual"/>
        </w:rPr>
      </w:pPr>
      <w:r w:rsidRPr="00A86559">
        <w:t>–</w:t>
      </w:r>
      <w:r w:rsidRPr="00A86559">
        <w:tab/>
        <w:t>ottaa huomioon 4. huhtikuuta 1949 tehdyn Pohjois-Atlantin sopimuksen ja erityisesti sen 4 ja 5 artiklan,</w:t>
      </w:r>
    </w:p>
    <w:p w:rsidR="00AE62E0" w:rsidRPr="00A86559" w:rsidP="00CD0C6E" w14:paraId="3A0065D1" w14:textId="77777777">
      <w:pPr>
        <w:pStyle w:val="NormalHanging12a"/>
        <w:widowControl/>
      </w:pPr>
      <w:r w:rsidRPr="00A86559">
        <w:t>–</w:t>
      </w:r>
      <w:r w:rsidRPr="00A86559">
        <w:tab/>
        <w:t>ottaa huomioon 19. maaliskuuta 2025 annetun komission ja unionin ulkoasioiden ja turvallisuuspolitiikan korkean edustajan yhteisen tiedonannon ”Yhteinen valkoinen kirja Euroopan puolustusvalmiudesta vuoteen 2030 mennessä” (JOIN(2025)0120) ja siitä 12. maaliskuuta 2025 antamansa päätöslauselman</w:t>
      </w:r>
      <w:r>
        <w:rPr>
          <w:rStyle w:val="FootnoteReference"/>
        </w:rPr>
        <w:footnoteReference w:id="3"/>
      </w:r>
      <w:r w:rsidRPr="00A86559">
        <w:t>,</w:t>
      </w:r>
    </w:p>
    <w:p w:rsidR="00AE62E0" w:rsidRPr="00A86559" w:rsidP="00CD0C6E" w14:paraId="3C4EC743" w14:textId="77777777">
      <w:pPr>
        <w:pStyle w:val="NormalHanging12a"/>
        <w:widowControl/>
        <w:rPr>
          <w:rFonts w:eastAsia="Aptos"/>
          <w:kern w:val="2"/>
          <w14:ligatures w14:val="standardContextual"/>
        </w:rPr>
      </w:pPr>
      <w:r w:rsidRPr="00A86559">
        <w:t>–</w:t>
      </w:r>
      <w:r w:rsidRPr="00A86559">
        <w:tab/>
        <w:t>ottaa huomioon 16. lokakuuta 2025 annetun komission ja unionin ulkoasioiden ja turvallisuuspolitiikan korkean edustajan yhteisen tiedonannon ”Rauhan puolesta – puolustusvalmiuden tiekartta 2030” (JOIN(2025)0027),</w:t>
      </w:r>
    </w:p>
    <w:p w:rsidR="00AE62E0" w:rsidRPr="00A86559" w:rsidP="00CD0C6E" w14:paraId="353F2D75" w14:textId="77777777">
      <w:pPr>
        <w:pStyle w:val="NormalHanging12a"/>
        <w:widowControl/>
        <w:rPr>
          <w:rFonts w:eastAsia="Aptos"/>
          <w:kern w:val="2"/>
          <w14:ligatures w14:val="standardContextual"/>
        </w:rPr>
      </w:pPr>
      <w:r w:rsidRPr="00A86559">
        <w:t>–</w:t>
      </w:r>
      <w:r w:rsidRPr="00A86559">
        <w:tab/>
        <w:t>ottaa huomioon 19. maaliskuuta 2026 annetut Eurooppa-neuvoston päätelmät EU:n Ukrainalle antamasta jatkuvasta tuesta,</w:t>
      </w:r>
    </w:p>
    <w:p w:rsidR="00AE62E0" w:rsidRPr="00A86559" w:rsidP="00CD0C6E" w14:paraId="53BFAC5B" w14:textId="77777777">
      <w:pPr>
        <w:pStyle w:val="NormalHanging12a"/>
        <w:widowControl/>
        <w:rPr>
          <w:rFonts w:eastAsia="Aptos"/>
          <w:kern w:val="2"/>
          <w14:ligatures w14:val="standardContextual"/>
        </w:rPr>
      </w:pPr>
      <w:r w:rsidRPr="00A86559">
        <w:t>–</w:t>
      </w:r>
      <w:r w:rsidRPr="00A86559">
        <w:tab/>
        <w:t xml:space="preserve">ottaa huomioon komission puheenjohtajan Ursula von </w:t>
      </w:r>
      <w:r w:rsidRPr="00A86559">
        <w:t>der</w:t>
      </w:r>
      <w:r w:rsidRPr="00A86559">
        <w:t xml:space="preserve"> </w:t>
      </w:r>
      <w:r w:rsidRPr="00A86559">
        <w:t>Leyenin</w:t>
      </w:r>
      <w:r w:rsidRPr="00A86559">
        <w:t xml:space="preserve"> 20. toukokuuta 2026 antamat lausunnot Venäjän Baltian maihin kohdistamista uhkista,</w:t>
      </w:r>
    </w:p>
    <w:p w:rsidR="00AE62E0" w:rsidRPr="00A86559" w:rsidP="00CD0C6E" w14:paraId="7B440A81" w14:textId="77777777">
      <w:pPr>
        <w:pStyle w:val="NormalHanging12a"/>
        <w:widowControl/>
        <w:rPr>
          <w:rFonts w:eastAsia="Aptos"/>
          <w:kern w:val="2"/>
          <w14:ligatures w14:val="standardContextual"/>
        </w:rPr>
      </w:pPr>
      <w:r w:rsidRPr="00A86559">
        <w:t>–</w:t>
      </w:r>
      <w:r w:rsidRPr="00A86559">
        <w:tab/>
        <w:t xml:space="preserve">ottaa huomioon komission varapuheenjohtajan / unionin ulkoasioiden ja turvallisuuspolitiikan korkean edustajan </w:t>
      </w:r>
      <w:r w:rsidRPr="00A86559">
        <w:t>Kaja</w:t>
      </w:r>
      <w:r w:rsidRPr="00A86559">
        <w:t xml:space="preserve"> </w:t>
      </w:r>
      <w:r w:rsidRPr="00A86559">
        <w:t>Kallasin</w:t>
      </w:r>
      <w:r w:rsidRPr="00A86559">
        <w:t xml:space="preserve"> 29. toukokuuta 2026 antaman julkilausuman, jossa hän tuomitsee Venäjän tekemän EU:n ilmatilan vastuuttoman loukkaamisen,</w:t>
      </w:r>
    </w:p>
    <w:p w:rsidR="00AE62E0" w:rsidRPr="00A86559" w:rsidP="00CD0C6E" w14:paraId="7C53E2D5" w14:textId="77777777">
      <w:pPr>
        <w:pStyle w:val="NormalHanging12a"/>
        <w:widowControl/>
      </w:pPr>
      <w:r w:rsidRPr="00A86559">
        <w:t>–</w:t>
      </w:r>
      <w:r w:rsidRPr="00A86559">
        <w:tab/>
        <w:t>ottaa huomioon työjärjestyksen 136 artiklan 2 ja 4 kohdan,</w:t>
      </w:r>
    </w:p>
    <w:p w:rsidR="00AE62E0" w:rsidRPr="00A86559" w:rsidP="00CD0C6E" w14:paraId="3931FBD7" w14:textId="77777777">
      <w:pPr>
        <w:pStyle w:val="NormalHanging12a"/>
        <w:widowControl/>
      </w:pPr>
      <w:r w:rsidRPr="00A86559">
        <w:t>A.</w:t>
      </w:r>
      <w:r w:rsidRPr="00A86559">
        <w:tab/>
        <w:t xml:space="preserve">ottaa huomioon, että Venäjä käynnisti yli neljä vuotta sitten laittoman, provosoimattoman ja perusteettoman täysimittaisen hyökkäyssodan Ukrainaa vastaan ja jatkoi vuonna 2014 tapahtunutta Krimin liittämistä Venäjään ja </w:t>
      </w:r>
      <w:r w:rsidRPr="00A86559">
        <w:t>Donbassin</w:t>
      </w:r>
      <w:r w:rsidRPr="00A86559">
        <w:t xml:space="preserve"> alueen osien miehittämistä, mikä loukkaa räikeästi kansainvälistä oikeutta ja Ukrainan alueellista suvereniteettia; ottaa huomioon, että Venäjän tekemiä EU:n ja Naton ilmatilaan tunkeutumisia on tapahtunut siitä lähtien kun Venäjä aloitti täysimittaisen sotilaallisen hyökkäyksensä Ukrainaan, mutta ne ovat viime aikoina lisääntyneet ja voimistuneet;</w:t>
      </w:r>
    </w:p>
    <w:p w:rsidR="00AE62E0" w:rsidRPr="00A86559" w:rsidP="00CD0C6E" w14:paraId="4D9747B0" w14:textId="77777777">
      <w:pPr>
        <w:pStyle w:val="NormalHanging12a"/>
        <w:widowControl/>
        <w:rPr>
          <w:rFonts w:eastAsia="Aptos"/>
          <w:kern w:val="2"/>
          <w14:ligatures w14:val="standardContextual"/>
        </w:rPr>
      </w:pPr>
      <w:r w:rsidRPr="00A86559">
        <w:t>B.</w:t>
      </w:r>
      <w:r w:rsidRPr="00A86559">
        <w:tab/>
        <w:t>ottaa huomioon, että Venäjä keskittää sotilasjoukkoja parhaillaan EU:n itäiselle sivustalle, myös Valko-Venäjän alueelle, joka on osallisena Venäjän Ukrainaa vastaan käymässä hyökkäyssodassa ja hybridihyökkäyksissä EU:ta vastaan erityisesti laittoman muuttoliikkeen välineellistämisen, järjestäytyneen rikollisuuden ja disinformaation kautta sekä laukaisemalla säähavaintopalloja, jotka aiheuttavat vakavia turvallisuusuhkia, mukaan lukien siviili-ilmailun jatkuva häiriintyminen, Valko</w:t>
      </w:r>
      <w:r w:rsidRPr="00A86559">
        <w:noBreakHyphen/>
        <w:t>Venäjän rajanaapureiden kuten Latvian, Liettuan ja Puolan terrorisoiminen ja paikallisille talouksille aiheutuvat vahingot;</w:t>
      </w:r>
    </w:p>
    <w:p w:rsidR="00AE62E0" w:rsidRPr="00A86559" w:rsidP="00CD0C6E" w14:paraId="3FA609F2" w14:textId="77777777">
      <w:pPr>
        <w:pStyle w:val="NormalHanging12a"/>
        <w:widowControl/>
        <w:rPr>
          <w:rFonts w:eastAsia="Aptos"/>
          <w:kern w:val="2"/>
          <w14:ligatures w14:val="standardContextual"/>
        </w:rPr>
      </w:pPr>
      <w:r w:rsidRPr="00A86559">
        <w:t>C.</w:t>
      </w:r>
      <w:r w:rsidRPr="00A86559">
        <w:tab/>
        <w:t xml:space="preserve">ottaa huomioon, että Viro, Suomi, Latvia, Liettua ja Romania sekä muut EU:n jäsenvaltiot ovat joutuneet Venäjän toteuttamien vakauden horjuttamispyrkimysten, kuten </w:t>
      </w:r>
      <w:r w:rsidRPr="00A86559">
        <w:t>droonien</w:t>
      </w:r>
      <w:r w:rsidRPr="00A86559">
        <w:t xml:space="preserve"> tunkeutumisten ja ilmatilan loukkausten, propagandan ja disinformaation, elektronisen sodankäynnin, maailmanlaajuisen satelliittinavigointijärjestelmän (GNSS) häirinnän, kyberhyökkäysten ja sabotaasin, kohteeksi;</w:t>
      </w:r>
    </w:p>
    <w:p w:rsidR="00AE62E0" w:rsidRPr="00A86559" w:rsidP="00CD0C6E" w14:paraId="5FD86F0A" w14:textId="77777777">
      <w:pPr>
        <w:pStyle w:val="NormalHanging12a"/>
        <w:widowControl/>
      </w:pPr>
      <w:r w:rsidRPr="00A86559">
        <w:t>D.</w:t>
      </w:r>
      <w:r w:rsidRPr="00A86559">
        <w:tab/>
        <w:t xml:space="preserve">ottaa huomioon, että 29. toukokuuta 2026 venäläinen </w:t>
      </w:r>
      <w:r w:rsidRPr="00A86559">
        <w:t>drooni</w:t>
      </w:r>
      <w:r w:rsidRPr="00A86559">
        <w:t xml:space="preserve"> syöksyi asuinrakennukseen </w:t>
      </w:r>
      <w:r w:rsidRPr="00A86559">
        <w:t>Galațissa</w:t>
      </w:r>
      <w:r w:rsidRPr="00A86559">
        <w:t xml:space="preserve"> Romaniassa aiheuttaen räjähdyksen, jossa loukkaantui kaksi ihmistä; ottaa huomioon, että kyseessä oli ensimmäinen tällainen EU:n ja Naton jäsenvaltion alueella sattunut tapaus, josta seurasi lääkärinhoitoa vaativia vammoja; panee merkille, että yli 70 ihmistä oli evakuoitava;</w:t>
      </w:r>
    </w:p>
    <w:p w:rsidR="00AE62E0" w:rsidRPr="00A86559" w:rsidP="00CD0C6E" w14:paraId="0D28C294" w14:textId="77777777">
      <w:pPr>
        <w:pStyle w:val="NormalHanging12a"/>
        <w:widowControl/>
        <w:rPr>
          <w:rFonts w:eastAsia="Aptos"/>
          <w:kern w:val="2"/>
          <w14:ligatures w14:val="standardContextual"/>
        </w:rPr>
      </w:pPr>
      <w:r w:rsidRPr="00A86559">
        <w:t>E.</w:t>
      </w:r>
      <w:r w:rsidRPr="00A86559">
        <w:tab/>
        <w:t xml:space="preserve">ottaa huomioon, että 19. toukokuuta 2026 Naton Baltian ilmavalvonnan päivystystoimintaan osallistunut romanialainen hävittäjä ampui alas </w:t>
      </w:r>
      <w:r w:rsidRPr="00A86559">
        <w:t>droonin</w:t>
      </w:r>
      <w:r w:rsidRPr="00A86559">
        <w:t xml:space="preserve"> Viron ilmatilassa; ottaa huomioon, että tunnistamattoman </w:t>
      </w:r>
      <w:r w:rsidRPr="00A86559">
        <w:t>droonin</w:t>
      </w:r>
      <w:r w:rsidRPr="00A86559">
        <w:t xml:space="preserve"> tunkeutuminen Liettuan ilmatilaan pakotti 20. toukokuuta 2026 viranomaiset antamaan ennennäkemättömän ilmahyökkäysvaroituksen, joka pakotti siviilit hakeutumaan suojaan; ottaa huomioon, että Naton tehtävään osallistuneet ranskalaiset Naton hävittäjät ampuivat 8. kesäkuuta 2026 alas Latvian yli lentämässä olleita </w:t>
      </w:r>
      <w:r w:rsidRPr="00A86559">
        <w:t>drooneja</w:t>
      </w:r>
      <w:r w:rsidRPr="00A86559">
        <w:t xml:space="preserve">; ottaa huomioon, että nämä </w:t>
      </w:r>
      <w:r w:rsidRPr="00A86559">
        <w:t>drooni</w:t>
      </w:r>
      <w:r w:rsidRPr="00A86559">
        <w:t xml:space="preserve">-iskut ovat suoraa seurausta Venäjän hyökkäyssodasta Ukrainaa vastaan ja että suurin osa näistä </w:t>
      </w:r>
      <w:r w:rsidRPr="00A86559">
        <w:t>drooneista</w:t>
      </w:r>
      <w:r w:rsidRPr="00A86559">
        <w:t xml:space="preserve"> päätyy EU:n ilmatilaan Venäjän elektronisen sodankäynnin vuoksi; ottaa huomioon, että maaliskuussa 2026 Venäjän elektronisen sodankäynnin järjestelmien aiheuttaman häirinnän vuoksi vähintään kolme ukrainalaista </w:t>
      </w:r>
      <w:r w:rsidRPr="00A86559">
        <w:t>droonia</w:t>
      </w:r>
      <w:r w:rsidRPr="00A86559">
        <w:t xml:space="preserve"> poikkesi aiotusta suunnastaan ja ajautui Suomen alueelle, jossa ne myös syöksyivät maahan;</w:t>
      </w:r>
    </w:p>
    <w:p w:rsidR="00AE62E0" w:rsidRPr="00A86559" w:rsidP="00CD0C6E" w14:paraId="6FBD697A" w14:textId="77777777">
      <w:pPr>
        <w:pStyle w:val="NormalHanging12a"/>
        <w:widowControl/>
        <w:rPr>
          <w:rFonts w:eastAsia="Aptos"/>
          <w:kern w:val="2"/>
          <w14:ligatures w14:val="standardContextual"/>
        </w:rPr>
      </w:pPr>
      <w:r w:rsidRPr="00A86559">
        <w:t>F.</w:t>
      </w:r>
      <w:r w:rsidRPr="00A86559">
        <w:tab/>
        <w:t xml:space="preserve">ottaa huomioon, että 29. toukokuuta 2026 ukrainalainen </w:t>
      </w:r>
      <w:r w:rsidRPr="00A86559">
        <w:t>meridrooni</w:t>
      </w:r>
      <w:r w:rsidRPr="00A86559">
        <w:t xml:space="preserve"> räjähti Romanian </w:t>
      </w:r>
      <w:r w:rsidRPr="00A86559">
        <w:t>Constanțan</w:t>
      </w:r>
      <w:r w:rsidRPr="00A86559">
        <w:t xml:space="preserve"> satamassa Venäjän federaation käyttämien elektronisen sodankäynnin toimenpiteiden seurauksena ja aiheutti vahinkoa omaisuudelle mutta ei kuolonuhreja;</w:t>
      </w:r>
    </w:p>
    <w:p w:rsidR="00AE62E0" w:rsidRPr="00A86559" w:rsidP="00CD0C6E" w14:paraId="5084529F" w14:textId="0B3A6C32">
      <w:pPr>
        <w:pStyle w:val="NormalHanging12a"/>
        <w:widowControl/>
        <w:rPr>
          <w:spacing w:val="-2"/>
        </w:rPr>
      </w:pPr>
      <w:r w:rsidRPr="00A86559">
        <w:t>G.</w:t>
      </w:r>
      <w:r w:rsidRPr="00A86559">
        <w:tab/>
        <w:t xml:space="preserve">ottaa huomioon, että kaksi ukrainalaista </w:t>
      </w:r>
      <w:r w:rsidRPr="00A86559">
        <w:t>droonia</w:t>
      </w:r>
      <w:r w:rsidRPr="00A86559">
        <w:t xml:space="preserve">, joita Venäjän elektronisen sodankäynnin järjestelmät häiritsivät, iskeytyi 7. toukokuuta 2026 </w:t>
      </w:r>
      <w:r w:rsidRPr="00A86559">
        <w:t>Rēzeknessä</w:t>
      </w:r>
      <w:r w:rsidRPr="00A86559">
        <w:t xml:space="preserve"> Latviassa sijaitsevaan polttoainevarastoon; </w:t>
      </w:r>
    </w:p>
    <w:p w:rsidR="00AE62E0" w:rsidRPr="00A86559" w:rsidP="00CD0C6E" w14:paraId="7F628DC7" w14:textId="77777777">
      <w:pPr>
        <w:pStyle w:val="NormalHanging12a"/>
        <w:widowControl/>
        <w:rPr>
          <w:rFonts w:eastAsia="Aptos"/>
          <w:kern w:val="2"/>
          <w14:ligatures w14:val="standardContextual"/>
        </w:rPr>
      </w:pPr>
      <w:r w:rsidRPr="00A86559">
        <w:t>H.</w:t>
      </w:r>
      <w:r w:rsidRPr="00A86559">
        <w:tab/>
        <w:t xml:space="preserve">ottaa huomioon, että Itämeren alueella on runsaasti kriittistä infrastruktuuria, kuten merenalaisia energia- ja televiestintäverkkoja, liikenneyhteyksiä ja muita strategisia resursseja, minkä vuoksi se on erityisen altis hybridihyökkäyksille, sabotaasille ja </w:t>
      </w:r>
      <w:r w:rsidRPr="00A86559">
        <w:t>drooneihin</w:t>
      </w:r>
      <w:r w:rsidRPr="00A86559">
        <w:t xml:space="preserve"> liittyville uhkille; ottaa huomioon, että kuten Venäjän Ukrainan infrastruktuuriin kohdistamista hyökkäyksistä saadut kokemukset osoittavat, kriittisen infrastruktuurin suojelu edellyttää sekä parempaa fyysistä suojaamista että päällekkäisyyden ja hajauttamisen lisäämistä;</w:t>
      </w:r>
    </w:p>
    <w:p w:rsidR="00AE62E0" w:rsidRPr="00A86559" w:rsidP="00CD0C6E" w14:paraId="02E5FA57" w14:textId="77777777">
      <w:pPr>
        <w:pStyle w:val="NormalHanging12a"/>
        <w:widowControl/>
      </w:pPr>
      <w:r w:rsidRPr="00A86559">
        <w:t>I.</w:t>
      </w:r>
      <w:r w:rsidRPr="00A86559">
        <w:tab/>
      </w:r>
      <w:r w:rsidRPr="00A86559">
        <w:rPr>
          <w:rStyle w:val="normaltextrun"/>
          <w:color w:val="000000"/>
        </w:rPr>
        <w:t xml:space="preserve">katsoo, että Liettuassa sijaitsevan </w:t>
      </w:r>
      <w:r w:rsidRPr="00A86559">
        <w:rPr>
          <w:rStyle w:val="normaltextrun"/>
          <w:color w:val="000000"/>
        </w:rPr>
        <w:t>Ignalinan</w:t>
      </w:r>
      <w:r w:rsidRPr="00A86559">
        <w:rPr>
          <w:rStyle w:val="normaltextrun"/>
          <w:color w:val="000000"/>
        </w:rPr>
        <w:t xml:space="preserve"> ydinvoimalan </w:t>
      </w:r>
      <w:r w:rsidRPr="00A86559">
        <w:rPr>
          <w:rStyle w:val="normaltextrun"/>
          <w:color w:val="000000"/>
        </w:rPr>
        <w:t>käytöstäpoisto</w:t>
      </w:r>
      <w:r w:rsidRPr="00A86559">
        <w:rPr>
          <w:rStyle w:val="normaltextrun"/>
          <w:color w:val="000000"/>
        </w:rPr>
        <w:t xml:space="preserve"> aiheuttaa merkittäviä alueellisia turvallisuus- ja ympäristöriskejä, koska siellä on suuria määriä käytettyä ydinpolttoainetta ja radioaktiivista jätettä varastoituna tilapäisiin maanpäällisiin tiloihin, ja että tähän kriittiseen infrastruktuuriin liittyvillä onnettomuuksilla tai tahallisilla provokaatioilla voisi olla vakavia seurauksia koko Baltian alueelle ja kauas sen ulkopuolelle</w:t>
      </w:r>
      <w:r w:rsidRPr="00A86559">
        <w:t>;</w:t>
      </w:r>
    </w:p>
    <w:p w:rsidR="00AE62E0" w:rsidRPr="00A86559" w:rsidP="00CD0C6E" w14:paraId="4BC19693" w14:textId="77777777">
      <w:pPr>
        <w:pStyle w:val="NormalHanging12a"/>
        <w:widowControl/>
        <w:rPr>
          <w:rFonts w:eastAsia="Aptos"/>
          <w:kern w:val="2"/>
          <w14:ligatures w14:val="standardContextual"/>
        </w:rPr>
      </w:pPr>
      <w:r w:rsidRPr="00A86559">
        <w:t>J.</w:t>
      </w:r>
      <w:r w:rsidRPr="00A86559">
        <w:tab/>
        <w:t>ottaa huomioon, että on ilmennyt muita vakavia tapauksia, joissa Venäjän epäillään loukanneen EU:n jäsenvaltioiden ilmatilaa;</w:t>
      </w:r>
    </w:p>
    <w:p w:rsidR="00AE62E0" w:rsidRPr="00A86559" w:rsidP="00CD0C6E" w14:paraId="5CBA5D5E" w14:textId="77777777">
      <w:pPr>
        <w:pStyle w:val="NormalHanging12a"/>
        <w:widowControl/>
        <w:rPr>
          <w:rFonts w:eastAsia="Aptos"/>
          <w:kern w:val="2"/>
          <w14:ligatures w14:val="standardContextual"/>
        </w:rPr>
      </w:pPr>
      <w:r w:rsidRPr="00A86559">
        <w:t>K.</w:t>
      </w:r>
      <w:r w:rsidRPr="00A86559">
        <w:tab/>
        <w:t xml:space="preserve">ottaa huomioon, että EU:n itäisen sivustan jäsenvaltioiden turvallisuus ja suojelu on ensisijainen prioriteetti ja Euroopan yhteinen velvollisuus, erityisesti kun otetaan huomioon, että hybridi-iskuja tehdään nykyaikaisen </w:t>
      </w:r>
      <w:r w:rsidRPr="00A86559">
        <w:t>droonisodankäynnin</w:t>
      </w:r>
      <w:r w:rsidRPr="00A86559">
        <w:t xml:space="preserve"> avulla, ja toteaa, että tällä alalla EU:n jäsenvaltioilla ei ole läheskään täydet valmiudet;</w:t>
      </w:r>
    </w:p>
    <w:p w:rsidR="00AE62E0" w:rsidRPr="00A86559" w:rsidP="00CD0C6E" w14:paraId="749CD96E" w14:textId="77777777">
      <w:pPr>
        <w:pStyle w:val="NormalHanging12a"/>
        <w:widowControl/>
        <w:rPr>
          <w:rFonts w:eastAsia="Aptos"/>
          <w:kern w:val="2"/>
          <w14:ligatures w14:val="standardContextual"/>
        </w:rPr>
      </w:pPr>
      <w:r w:rsidRPr="00A86559">
        <w:t>L.</w:t>
      </w:r>
      <w:r w:rsidRPr="00A86559">
        <w:tab/>
        <w:t xml:space="preserve">ottaa huomioon, että </w:t>
      </w:r>
      <w:r w:rsidRPr="00A86559">
        <w:t>droonivälikohtaukset</w:t>
      </w:r>
      <w:r w:rsidRPr="00A86559">
        <w:t xml:space="preserve"> EU:n itäisellä sivustalla ovat paljastaneet merkittäviä puutteita sekä sotilaallisessa että siviilialan varautumisessa; ottaa huomioon, että nykyiset tutkajärjestelmät eivät useinkaan pysty jäljittämään matalalla lentäviä kohteita, että miehittämättömien ilma-alusten (UAV) pysäyttämiseen valitut menetelmät ovat taloudellisesti tehottomia ja että vaaratilanteita koskevista raporteista ilmeni, että jotkin väestönsuojat olivat lukittuja tai ihmisillä ei ollut niihin pääsyä; ottaa huomioon, että nämä puutteet nostavat esiin kiireellisiä järjestelmätason haavoittuvuuksia hälytys</w:t>
      </w:r>
      <w:r w:rsidRPr="00A86559">
        <w:noBreakHyphen/>
        <w:t xml:space="preserve"> ja reagointimenettelyissä ja yhteiskunnan selviytymiskyvyssä laajemmin;</w:t>
      </w:r>
    </w:p>
    <w:p w:rsidR="00AE62E0" w:rsidRPr="00A86559" w:rsidP="00CD0C6E" w14:paraId="404E3B96" w14:textId="77777777">
      <w:pPr>
        <w:pStyle w:val="NormalHanging12a"/>
        <w:widowControl/>
        <w:rPr>
          <w:rStyle w:val="normaltextrun"/>
          <w:rFonts w:eastAsia="Aptos"/>
          <w:color w:val="000000"/>
          <w:kern w:val="2"/>
          <w:szCs w:val="22"/>
          <w14:ligatures w14:val="standardContextual"/>
        </w:rPr>
      </w:pPr>
      <w:r w:rsidRPr="00A86559">
        <w:rPr>
          <w:rStyle w:val="normaltextrun"/>
          <w:color w:val="000000"/>
        </w:rPr>
        <w:t>M.</w:t>
      </w:r>
      <w:r w:rsidRPr="00A86559">
        <w:rPr>
          <w:rStyle w:val="normaltextrun"/>
          <w:color w:val="000000"/>
        </w:rPr>
        <w:tab/>
        <w:t>ottaa huomioon, että viimeisimmissä Ukrainaan kohdistuneissa hyökkäyksissään Venäjä sytytti tuleen</w:t>
      </w:r>
      <w:r w:rsidRPr="00A86559">
        <w:t xml:space="preserve"> Kiovan luolaluostarin, joka on itäisen kristikunnan historiallinen luostari ja Unescon maailmanperintökohde, sekä muita korvaamattoman arvokkaita kulttuuriperintökohteita;</w:t>
      </w:r>
    </w:p>
    <w:p w:rsidR="00AE62E0" w:rsidRPr="00A86559" w:rsidP="00CD0C6E" w14:paraId="1450AF41" w14:textId="77777777">
      <w:pPr>
        <w:pStyle w:val="NormalHanging12a"/>
        <w:widowControl/>
      </w:pPr>
      <w:r w:rsidRPr="00A86559">
        <w:t>N.</w:t>
      </w:r>
      <w:r w:rsidRPr="00A86559">
        <w:tab/>
        <w:t xml:space="preserve">ottaa huomioon, että nämä viimeaikaiset </w:t>
      </w:r>
      <w:r w:rsidRPr="00A86559">
        <w:t>droonivälikohtaukset</w:t>
      </w:r>
      <w:r w:rsidRPr="00A86559">
        <w:t xml:space="preserve"> ovat osoittaneet, että tarvitaan kiireellisesti monikerroksisia puolustusvoimavaroja, joissa yhdistyvät liike</w:t>
      </w:r>
      <w:r w:rsidRPr="00A86559">
        <w:noBreakHyphen/>
        <w:t xml:space="preserve">energiaan perustuvat ja muunlaiset miehittämättömien ilma-alusten torjuntajärjestelmät (C-UAS); ottaa huomioon, että </w:t>
      </w:r>
      <w:r w:rsidRPr="00A86559">
        <w:t>drooneista</w:t>
      </w:r>
      <w:r w:rsidRPr="00A86559">
        <w:t xml:space="preserve"> on tullut nykyaikaisen </w:t>
      </w:r>
      <w:r w:rsidRPr="00A86559">
        <w:t>sodankäynnin ja hybridikonfliktien keskeinen elementti ja että niiden käyttö Ukrainassa on muuttanut perusteellisesti puolustusvaatimuksia ja operatiivisia doktriineja koko maanosassa;</w:t>
      </w:r>
    </w:p>
    <w:p w:rsidR="00AE62E0" w:rsidRPr="00A86559" w:rsidP="00CD0C6E" w14:paraId="76600835" w14:textId="77777777">
      <w:pPr>
        <w:pStyle w:val="NormalHanging12a"/>
        <w:widowControl/>
      </w:pPr>
      <w:r w:rsidRPr="00A86559">
        <w:t>O.</w:t>
      </w:r>
      <w:r w:rsidRPr="00A86559">
        <w:tab/>
        <w:t xml:space="preserve">ottaa huomioon, että arktisesta alueesta lähiseutuineen on tulossa yhä tärkeämpi Euroopan turvallisuudelle, mutta rajallinen anturikattavuus ja niukka pysyvä läsnäolo luovat haavoittuvuuksia, joita vihamieliset toimijat voivat pyrkiä käyttämään hyväkseen miehittämättömien järjestelmien ja hybridioperaatioiden avulla, mikä lisää syvälle EU:n alueelle ulottuvien vihamielisten </w:t>
      </w:r>
      <w:r w:rsidRPr="00A86559">
        <w:t>droonihyökkäysten</w:t>
      </w:r>
      <w:r w:rsidRPr="00A86559">
        <w:t xml:space="preserve"> riskiä;</w:t>
      </w:r>
    </w:p>
    <w:p w:rsidR="00AE62E0" w:rsidRPr="00A86559" w:rsidP="00CD0C6E" w14:paraId="5D27D0EA" w14:textId="77777777">
      <w:pPr>
        <w:pStyle w:val="NormalHanging12a"/>
        <w:widowControl/>
      </w:pPr>
      <w:r w:rsidRPr="00A86559">
        <w:t>1.</w:t>
      </w:r>
      <w:r w:rsidRPr="00A86559">
        <w:tab/>
        <w:t xml:space="preserve">tuomitsee jyrkästi Venäjän provokaatiot ja </w:t>
      </w:r>
      <w:r w:rsidRPr="00A86559">
        <w:t>droonien</w:t>
      </w:r>
      <w:r w:rsidRPr="00A86559">
        <w:t xml:space="preserve"> tunkeutumisen ilmatilaan EU:n jäsenvaltioissa ja toteaa, että niitä on mahdotonta hyväksyä;</w:t>
      </w:r>
    </w:p>
    <w:p w:rsidR="00AE62E0" w:rsidRPr="00A86559" w:rsidP="00CD0C6E" w14:paraId="5B867DFE" w14:textId="77777777">
      <w:pPr>
        <w:pStyle w:val="NormalHanging12a"/>
        <w:widowControl/>
        <w:rPr>
          <w:rFonts w:eastAsia="Aptos"/>
          <w:kern w:val="2"/>
          <w14:ligatures w14:val="standardContextual"/>
        </w:rPr>
      </w:pPr>
      <w:r w:rsidRPr="00A86559">
        <w:t>2.</w:t>
      </w:r>
      <w:r w:rsidRPr="00A86559">
        <w:tab/>
        <w:t>vahvistaa täyden solidaarisuutensa Virolle, Suomelle, Latvialle, Liettualle ja Romanialle, joiden alueeseen, ilmatilaan ja kriittiseen infrastruktuuriin Venäjän hybridiprovokaatiot ovat kohdistuneet; toteaa jälleen, että EU ei anna Venäjän vakauden horjuttamiskampanjan pelotella itseään ja että EU puolustaa päättäväisesti ja yhtenäisenä kaikkien jäsenvaltioidensa turvallisuutta, suvereniteettia ja alueellista koskemattomuutta ja jatkaa Ukrainan tukemista;</w:t>
      </w:r>
    </w:p>
    <w:p w:rsidR="00AE62E0" w:rsidRPr="00A86559" w:rsidP="00CD0C6E" w14:paraId="519C6312" w14:textId="77777777">
      <w:pPr>
        <w:pStyle w:val="NormalHanging12a"/>
        <w:widowControl/>
        <w:rPr>
          <w:rStyle w:val="normaltextrun"/>
          <w:rFonts w:eastAsia="Aptos"/>
          <w:color w:val="000000"/>
          <w:kern w:val="2"/>
          <w:szCs w:val="22"/>
          <w14:ligatures w14:val="standardContextual"/>
        </w:rPr>
      </w:pPr>
      <w:r w:rsidRPr="00A86559">
        <w:rPr>
          <w:rStyle w:val="normaltextrun"/>
          <w:color w:val="000000"/>
        </w:rPr>
        <w:t>3.</w:t>
      </w:r>
      <w:r w:rsidRPr="00A86559">
        <w:rPr>
          <w:rStyle w:val="normaltextrun"/>
          <w:color w:val="000000"/>
        </w:rPr>
        <w:tab/>
        <w:t>panee merkille EU:n itäisen sivustan raja-alueiden kansalaisten erityisen haavoittuvuuden, sillä he ovat kaikkein alttiimpia vakaville uhkille ja heille aiheutuu niistä myös merkittäviä taloudellisia ja sosiaalisia kustannuksia, ja ilmaisee täyden solidaarisuutensa heitä kohtaan; peräänkuuluttaa kohdennettuja EU:n tason toimenpiteitä, mukaan lukien erityinen taloudellinen tuki, jotta voidaan vahvistaa yhteisöjen, joihin haittavaikutukset kohdistuvat, ja kriittisen infrastruktuurin suojelua ja varmistaa ennaltaehkäisy, varautuminen, selviytymiskyky sekä kriisitoimet ja jälleenrakentaminen näillä erityisen alttiilla alueilla;</w:t>
      </w:r>
    </w:p>
    <w:p w:rsidR="00AE62E0" w:rsidRPr="00A86559" w:rsidP="00CD0C6E" w14:paraId="779195A8" w14:textId="77777777">
      <w:pPr>
        <w:pStyle w:val="NormalHanging12a"/>
        <w:widowControl/>
        <w:rPr>
          <w:rFonts w:eastAsia="Aptos"/>
          <w:kern w:val="2"/>
          <w14:ligatures w14:val="standardContextual"/>
        </w:rPr>
      </w:pPr>
      <w:r w:rsidRPr="00A86559">
        <w:t>4.</w:t>
      </w:r>
      <w:r w:rsidRPr="00A86559">
        <w:tab/>
        <w:t xml:space="preserve">tuomitsee yksiselitteisesti </w:t>
      </w:r>
      <w:r w:rsidRPr="00A86559">
        <w:t>drooni</w:t>
      </w:r>
      <w:r w:rsidRPr="00A86559">
        <w:t xml:space="preserve">-iskun, jonka Venäjä teki </w:t>
      </w:r>
      <w:r w:rsidRPr="00A86559">
        <w:t>Galațissa</w:t>
      </w:r>
      <w:r w:rsidRPr="00A86559">
        <w:t xml:space="preserve"> Romaniassa sijaitsevaan asuinrakennukseen ja joka aiheutti välittömiä siviiliuhreja ja kärjisti tilannetta huolestuttavasti ja vakavasti; katsoo, että EU:n jäsenvaltioihin kohdistuvat toistuvat </w:t>
      </w:r>
      <w:r w:rsidRPr="00A86559">
        <w:t>droonien</w:t>
      </w:r>
      <w:r w:rsidRPr="00A86559">
        <w:t xml:space="preserve"> tunkeutumiset ja ilmatilan loukkaukset eivät ole yksittäistapauksia vaan olennainen osa Venäjän laajempaa EU:hun ja sen liittolaisiin kohdistamaa pelottelustrategiaa;</w:t>
      </w:r>
    </w:p>
    <w:p w:rsidR="00AE62E0" w:rsidRPr="00A86559" w:rsidP="00CD0C6E" w14:paraId="2727525B" w14:textId="77777777">
      <w:pPr>
        <w:pStyle w:val="NormalHanging12a"/>
        <w:widowControl/>
        <w:rPr>
          <w:rFonts w:eastAsia="Aptos"/>
          <w:kern w:val="2"/>
          <w14:ligatures w14:val="standardContextual"/>
        </w:rPr>
      </w:pPr>
      <w:r w:rsidRPr="00A86559">
        <w:t>5.</w:t>
      </w:r>
      <w:r w:rsidRPr="00A86559">
        <w:tab/>
      </w:r>
      <w:r w:rsidRPr="00A86559">
        <w:rPr>
          <w:rStyle w:val="normaltextrun"/>
          <w:color w:val="000000"/>
        </w:rPr>
        <w:t xml:space="preserve">toteaa, että Venäjä on täysin ja yksiselitteisesti vastuussa näistä piittaamattomista eskaloivista hyökkäyksistä, jotka vaarantavat ihmishenkiä; muistuttaa, että Venäjän federaation toimet muodostavat tahallisen, järjestelmällisen ja jatkuvan uhan EU:n ja sen jäsenvaltioiden turvallisuudelle, häiriönsietokyvylle ja suvereniteetille; </w:t>
      </w:r>
      <w:r w:rsidRPr="00A86559">
        <w:t xml:space="preserve">tuomitsee jälleen mitä jyrkimmin Venäjän laittoman, provosoimattoman ja perusteettoman hyökkäyssodan Ukrainaa vastaan sekä Valko-Venäjän osallisuuden siihen; tuomitsee jyrkästi Venäjän päätöksen jatkaa hyökkäyssotaansa, myös sen viimeisimmät kohdennetut hyökkäykset kulttuuriperintökohteisiin ja Unescon maailmanperintökohteeseen Kiovan luolaluostariin, samalla kun se kieltäytyy Ukrainan kanssa käytävistä suorista neuvotteluista, joita Ukrainan presidentti </w:t>
      </w:r>
      <w:r w:rsidRPr="00A86559">
        <w:t>Volodymyr</w:t>
      </w:r>
      <w:r w:rsidRPr="00A86559">
        <w:t> </w:t>
      </w:r>
      <w:r w:rsidRPr="00A86559">
        <w:t>Zelenskyi</w:t>
      </w:r>
      <w:r w:rsidRPr="00A86559">
        <w:t xml:space="preserve"> äskettäin ehdotti;</w:t>
      </w:r>
    </w:p>
    <w:p w:rsidR="00AE62E0" w:rsidRPr="00A86559" w:rsidP="00CD0C6E" w14:paraId="2A8F3E82" w14:textId="77777777">
      <w:pPr>
        <w:pStyle w:val="NormalHanging12a"/>
        <w:widowControl/>
        <w:rPr>
          <w:rFonts w:eastAsia="Aptos"/>
          <w:kern w:val="2"/>
          <w14:ligatures w14:val="standardContextual"/>
        </w:rPr>
      </w:pPr>
      <w:r w:rsidRPr="00A86559">
        <w:t>6.</w:t>
      </w:r>
      <w:r w:rsidRPr="00A86559">
        <w:tab/>
        <w:t xml:space="preserve">tuomitsee jälleen sen, että Venäjä on tahallisesti häirinnyt GNSS-signaaleja Itämeren ja Mustanmeren alueilla ja että Valko-Venäjä on tahallisesti laukaissut ilmaan säähavaintopalloja, mikä aiheuttaa vakavia turvallisuusriskejä siviili-ilmailulle ja </w:t>
      </w:r>
      <w:r w:rsidRPr="00A86559">
        <w:t>meriliikenteelle; tuomitsee Valko-Venäjän myös sen EU:hun kohdistamien hybridihyökkäysten vuoksi;</w:t>
      </w:r>
    </w:p>
    <w:p w:rsidR="00AE62E0" w:rsidRPr="00A86559" w:rsidP="00CD0C6E" w14:paraId="545DC5B6" w14:textId="77777777">
      <w:pPr>
        <w:pStyle w:val="NormalHanging12a"/>
        <w:widowControl/>
        <w:rPr>
          <w:rFonts w:eastAsia="Aptos"/>
          <w:kern w:val="2"/>
          <w14:ligatures w14:val="standardContextual"/>
        </w:rPr>
      </w:pPr>
      <w:r w:rsidRPr="00A86559">
        <w:t>7.</w:t>
      </w:r>
      <w:r w:rsidRPr="00A86559">
        <w:tab/>
        <w:t xml:space="preserve">kehottaa jälleen nopeuttamaan kiireellisesti ensisijaisten puolustustarvikkeiden, erityisesti ilmapuolustusjärjestelmien, ampumatarvikkeiden, </w:t>
      </w:r>
      <w:r w:rsidRPr="00A86559">
        <w:t>droonien</w:t>
      </w:r>
      <w:r w:rsidRPr="00A86559">
        <w:t xml:space="preserve"> ja ohjusten, tuotantoa ja toimittamista Ukrainaan tällä kriittisellä hetkellä, kun akuutit puutteet ilmapuolustusvoimavaroissa asettavat Ukrainan väestön ja infrastruktuurin yhä suojattomampaan asemaan;</w:t>
      </w:r>
    </w:p>
    <w:p w:rsidR="00AE62E0" w:rsidRPr="00A86559" w:rsidP="00CD0C6E" w14:paraId="2C76B1B5" w14:textId="77777777">
      <w:pPr>
        <w:pStyle w:val="NormalHanging12a"/>
        <w:widowControl/>
        <w:rPr>
          <w:rFonts w:eastAsia="Aptos"/>
          <w:kern w:val="2"/>
          <w14:ligatures w14:val="standardContextual"/>
        </w:rPr>
      </w:pPr>
      <w:r w:rsidRPr="00A86559">
        <w:t>8.</w:t>
      </w:r>
      <w:r w:rsidRPr="00A86559">
        <w:tab/>
        <w:t xml:space="preserve">korostaa, että näitä vihamielisiä tekoja pahentaa aggressiivinen disinformaatiokampanja, jolla pyritään uhkailemaan paikallista väestöä, levittämään pelkoa, vahingoittamaan paikallisia talouksia ja luomaan kasvualustaa mahdollisille vastatoimille esimerkiksi Venäjän esittämillä perusteettomilla väitteillä siitä, että Baltian maat sallivat Ukrainan käyttää alueitaan ja ilmatilaansa Venäjällä sijaitseviin kohteisiin suuntautuviin </w:t>
      </w:r>
      <w:r w:rsidRPr="00A86559">
        <w:t>droonihyökkäyksiin</w:t>
      </w:r>
      <w:r w:rsidRPr="00A86559">
        <w:t>;</w:t>
      </w:r>
    </w:p>
    <w:p w:rsidR="00AE62E0" w:rsidRPr="00A86559" w:rsidP="00CD0C6E" w14:paraId="608C3761" w14:textId="77777777">
      <w:pPr>
        <w:pStyle w:val="NormalHanging12a"/>
        <w:widowControl/>
      </w:pPr>
      <w:r w:rsidRPr="00A86559">
        <w:t>9.</w:t>
      </w:r>
      <w:r w:rsidRPr="00A86559">
        <w:tab/>
        <w:t>toistaa kehotuksensa perustaa kiireellisesti – myös esittämällä nopeita päätöksentekoprosesseja koskevia ehdotuksia – todellinen Euroopan puolustusunioni, joka on laajempi kuin nykyiset kehykset, kuten yhteinen valkoinen kirja Euroopan puolustusvalmiudesta vuoteen 2030 mennessä ja sitä seurannut puolustusvalmiuden tiekartta 2030; korostaa, että syvempi yhdentyminen, koordinointi ja resurssien yhdistäminen on olennaisen tärkeää, jotta EU voi vastata tehokkaasti Venäjän kasvaviin uhkiin; kehottaa tehostamaan Euroopan puolustuksen teollista ja teknologista perustaa ja sen tuotantokapasiteettia kaikkialla EU:ssa parantamalla EU:n tason koordinointia ja maksimoimalla kansallisten aloitteiden ja EU:n välineiden käytön;</w:t>
      </w:r>
    </w:p>
    <w:p w:rsidR="00AE62E0" w:rsidRPr="00A86559" w:rsidP="00CD0C6E" w14:paraId="7E358124" w14:textId="140FBAC7">
      <w:pPr>
        <w:pStyle w:val="NormalHanging12a"/>
        <w:widowControl/>
        <w:rPr>
          <w:rFonts w:eastAsia="Aptos"/>
          <w:kern w:val="2"/>
          <w14:ligatures w14:val="standardContextual"/>
        </w:rPr>
      </w:pPr>
      <w:r w:rsidRPr="00A86559">
        <w:t>10.</w:t>
      </w:r>
      <w:r w:rsidRPr="00A86559">
        <w:tab/>
        <w:t xml:space="preserve">kehottaa tehostamaan yhteisvastuulausekkeen (SEUT 222 artikla) ja yhteistä puolustusta koskevan lausekkeen (SEU 42 artiklan 7 kohta) käyttöönottoa esimerkiksi silloin, kun jäsenvaltio vetoaa niihin tavanomaisen tai hybridihyökkäyksen </w:t>
      </w:r>
      <w:r w:rsidRPr="00A86559">
        <w:t>johdosta</w:t>
      </w:r>
      <w:r w:rsidRPr="00A86559">
        <w:t>;</w:t>
      </w:r>
    </w:p>
    <w:p w:rsidR="00AE62E0" w:rsidRPr="00A86559" w:rsidP="00CD0C6E" w14:paraId="65A83A69" w14:textId="77777777">
      <w:pPr>
        <w:pStyle w:val="NormalHanging12a"/>
        <w:widowControl/>
      </w:pPr>
      <w:r w:rsidRPr="00A86559">
        <w:t>11.</w:t>
      </w:r>
      <w:r w:rsidRPr="00A86559">
        <w:tab/>
        <w:t xml:space="preserve">korostaa, että EU:n ja Naton itäistä sivustaa on vahvistettava johdonmukaisesti koko sen pituudelta arktiselta alueelta </w:t>
      </w:r>
      <w:r w:rsidRPr="00A86559">
        <w:t>Mustallemerelle</w:t>
      </w:r>
      <w:r w:rsidRPr="00A86559">
        <w:t xml:space="preserve">, mukaan lukien maa-, meri- ja ilmaulottuvuudet, kehittämällä etulinjan jäsenvaltioiden valmiuksia torjua </w:t>
      </w:r>
      <w:r w:rsidRPr="00A86559">
        <w:t>drooneja</w:t>
      </w:r>
      <w:r w:rsidRPr="00A86559">
        <w:t xml:space="preserve"> ja säähavaintopalloja ja osoittamalla tähän tarkoitukseen riittävät resurssit; kehottaa EU:ta ja sen jäsenvaltioita vahvistamaan kiireellisesti havaitsemis-, häirintä-, torjunta- ja neutralointivalmiuksia EU:n itäisellä sivustalla; kehottaa lisäksi järjestämään säännöllisiä yhteisiä harjoituksia jäsenvaltioiden, EU:n toimielinten, Ukrainan ja Naton välillä, jotta voidaan testata ja parantaa näiden nopean toiminnan mekanismien valmiutta;</w:t>
      </w:r>
    </w:p>
    <w:p w:rsidR="00AE62E0" w:rsidRPr="00A86559" w:rsidP="00CD0C6E" w14:paraId="01D5C390" w14:textId="77777777">
      <w:pPr>
        <w:pStyle w:val="NormalHanging12a"/>
        <w:widowControl/>
        <w:rPr>
          <w:rFonts w:eastAsia="Aptos"/>
          <w:kern w:val="2"/>
          <w14:ligatures w14:val="standardContextual"/>
        </w:rPr>
      </w:pPr>
      <w:r w:rsidRPr="00A86559">
        <w:t>12.</w:t>
      </w:r>
      <w:r w:rsidRPr="00A86559">
        <w:tab/>
        <w:t>suosittelee, että miehittämättömien ilma-alusten torjuntajärjestelmät sisällytetään yhteisiin koulutusharjoituksiin ja EU:n tason pelastustoiminnan suunnitteluun, jotta poliisi, lentoasemaviranomaiset ja energia-alan toimijat voivat saada EU:n laajuista koulutusta ja standardoituja miehittämättömien ilma-alusten torjuntajärjestelmiä koskevia valmiuksia, ja että tässä yhteydessä kiinnitetään erityistä huomiota kriittiseen infrastruktuuriin;</w:t>
      </w:r>
    </w:p>
    <w:p w:rsidR="00AE62E0" w:rsidRPr="00A86559" w:rsidP="00CD0C6E" w14:paraId="00BC10A2" w14:textId="77777777">
      <w:pPr>
        <w:pStyle w:val="NormalHanging12a"/>
        <w:widowControl/>
      </w:pPr>
      <w:r w:rsidRPr="00A86559">
        <w:t>13.</w:t>
      </w:r>
      <w:r w:rsidRPr="00A86559">
        <w:tab/>
        <w:t xml:space="preserve">korostaa huolestuneena, että Euroopan nykyiset </w:t>
      </w:r>
      <w:r w:rsidRPr="00A86559">
        <w:t>droonien</w:t>
      </w:r>
      <w:r w:rsidRPr="00A86559">
        <w:t xml:space="preserve"> havaitsemis- ja torjuntajärjestelmät ovat riittämättömät, ja painottaa, että havaitsemista ja puolustusta on parannettava kiireellisesti; korostaa tässä yhteydessä, että tarvitaan kokonaisvaltaista lähestymistapaa, jossa keskitytään siihen, että lainvalvonta- ja siviiliviranomaiset saavat paremmat välineet </w:t>
      </w:r>
      <w:r w:rsidRPr="00A86559">
        <w:t>droonien</w:t>
      </w:r>
      <w:r w:rsidRPr="00A86559">
        <w:t xml:space="preserve"> havaitsemiseen ja </w:t>
      </w:r>
      <w:r w:rsidRPr="00A86559">
        <w:t>drooneilta</w:t>
      </w:r>
      <w:r w:rsidRPr="00A86559">
        <w:t xml:space="preserve"> puolustautumiseen;</w:t>
      </w:r>
    </w:p>
    <w:p w:rsidR="00AE62E0" w:rsidRPr="00A86559" w:rsidP="00CD0C6E" w14:paraId="49D6B580" w14:textId="77777777">
      <w:pPr>
        <w:pStyle w:val="NormalHanging12a"/>
        <w:widowControl/>
        <w:rPr>
          <w:rFonts w:eastAsia="Aptos"/>
          <w:kern w:val="2"/>
          <w14:ligatures w14:val="standardContextual"/>
        </w:rPr>
      </w:pPr>
      <w:r w:rsidRPr="00A86559">
        <w:t>14.</w:t>
      </w:r>
      <w:r w:rsidRPr="00A86559">
        <w:tab/>
        <w:t>kannustaa jäsenvaltioita asettamaan etusijalle johtamis- ja valvontajärjestelmien integroimisen pelastustyöntekijöiden, pelastustoiminnan ja miehittämättömiltä ilma</w:t>
      </w:r>
      <w:r w:rsidRPr="00A86559">
        <w:noBreakHyphen/>
        <w:t>aluksilta puolustautumisen doktriineihin, jotta varmistetaan siviilivalmiuden, väestönsuojien, varhaisvaroituksen ja teknologisen integroinnin mahdollisimman kattava optimointi;</w:t>
      </w:r>
    </w:p>
    <w:p w:rsidR="00AE62E0" w:rsidRPr="00A86559" w:rsidP="00CD0C6E" w14:paraId="4CFDC523" w14:textId="77777777">
      <w:pPr>
        <w:pStyle w:val="NormalHanging12a"/>
        <w:widowControl/>
      </w:pPr>
      <w:r w:rsidRPr="00A86559">
        <w:t>15.</w:t>
      </w:r>
      <w:r w:rsidRPr="00A86559">
        <w:tab/>
        <w:t>korostaa, että Venäjän tarkoituksellisilla hyökkäyksillä EU:n ja Naton itäiseen sivustaan pyritään paitsi provosoimaan jäsenvaltioita ja horjuttamaan niiden vakautta myös testaamaan ja hyödyntämään Naton havaitsemisen ja reagoinnin suorituskykyjen heikkouksia; toteaa, että Venäjä jatkaa vakautta horjuttavaa toimintaansa Mustanmeren alueella sekä tavanomaisilla että hybriditoimilla, kuten ajomiinojen käytöllä, häirintäoperaatioilla ja merenkulun vapauteen kohdistuvilla uhkilla, mikä tekee tämän alueen turvallisuuden vahvistamisesta strategisen painopisteen, johon on puututtava kiireellisesti, koska kyseessä on uhka Euroopan turvallisuudelle;</w:t>
      </w:r>
    </w:p>
    <w:p w:rsidR="00AE62E0" w:rsidRPr="00A86559" w:rsidP="00CD0C6E" w14:paraId="3E80AE0D" w14:textId="77777777">
      <w:pPr>
        <w:pStyle w:val="NormalHanging12a"/>
        <w:widowControl/>
      </w:pPr>
      <w:r w:rsidRPr="00A86559">
        <w:t>16.</w:t>
      </w:r>
      <w:r w:rsidRPr="00A86559">
        <w:tab/>
        <w:t>kehottaa panemaan EU:n Mustanmeren strategian täytäntöön kaikilta osin ja nopeuttamaan Mustanmeren merellisen turvallisuuden keskuksen perustamista;</w:t>
      </w:r>
    </w:p>
    <w:p w:rsidR="00AE62E0" w:rsidRPr="00A86559" w:rsidP="00CD0C6E" w14:paraId="69A1F67F" w14:textId="77777777">
      <w:pPr>
        <w:pStyle w:val="NormalHanging12a"/>
        <w:widowControl/>
      </w:pPr>
      <w:r w:rsidRPr="00A86559">
        <w:t>17.</w:t>
      </w:r>
      <w:r w:rsidRPr="00A86559">
        <w:tab/>
        <w:t>pitää myönteisenä EU:n 20. Venäjän vastaisen pakotepaketin äskettäistä hyväksymistä ja 21. pakotepaketin esittämistä; kehottaa komissiota, EU:n pakotelähettilästä ja jäsenvaltioita panemaan tiukasti täytäntöön uudet ja nykyiset pakotteet ja asettamaan viipymättä etusijalle toimitusketjujen aukkokohtien tukkimisen; kehottaa komissiota laatimaan viipymättä lisäpakotteita, myös alumiinioksidia ja muita strategisia raaka</w:t>
      </w:r>
      <w:r w:rsidRPr="00A86559">
        <w:noBreakHyphen/>
        <w:t>aineita ja kaksikäyttötuotteita koskevia pakotteita, ja kehottaa kaikkia jäsenvaltioita olemaan estämättä tällaista luetteloon merkitsemistä kansalliseen taloudelliseen etuunsa vedoten; kannattaa lisätoimenpiteitä Venäjän federaation energia</w:t>
      </w:r>
      <w:r w:rsidRPr="00A86559">
        <w:noBreakHyphen/>
        <w:t xml:space="preserve"> ja rahoitusalaan kohdistuvaa tulevaa pakotepakettia varten sekä Ukrainassa taistelleiden entisten venäläisten taistelijoiden EU:hun pääsyn kieltämistä ja kehottaa jäsenvaltioita, jotka edelleen tukevat Venäjän federaatiota, lopettamaan tällaisen tuen;</w:t>
      </w:r>
    </w:p>
    <w:p w:rsidR="00AE62E0" w:rsidRPr="00A86559" w:rsidP="00CD0C6E" w14:paraId="057A54CF" w14:textId="77777777">
      <w:pPr>
        <w:pStyle w:val="NormalHanging12a"/>
        <w:widowControl/>
      </w:pPr>
      <w:r w:rsidRPr="00A86559">
        <w:t>18.</w:t>
      </w:r>
      <w:r w:rsidRPr="00A86559">
        <w:tab/>
        <w:t>kehottaa jäsenvaltioita, erityisesti niitä, jotka myöntävät pääosan Venäjän kansalaisten viisumeista, noudattamaan tarkasti 6. marraskuuta 2025 annettua komission täytäntöönpanopäätöstä, jossa määritetään mukautetut säännöt monikertaviisumien myöntämisestä Venäjän federaatiossa asuville Venäjän kansalaisille, jotka hakevat lyhytaikaista viisumia Venäjän federaatiossa</w:t>
      </w:r>
      <w:r>
        <w:rPr>
          <w:rStyle w:val="FootnoteReference"/>
        </w:rPr>
        <w:footnoteReference w:id="4"/>
      </w:r>
      <w:r w:rsidRPr="00A86559">
        <w:t>, sekä panemaan kaikilta osin täytäntöön komission vuoden 2022 ohjeistuksen etenkin vapaa-ajan matkailun ja muun ei</w:t>
      </w:r>
      <w:r w:rsidRPr="00A86559">
        <w:noBreakHyphen/>
        <w:t>välttämättömän matkustamisen tehostetusta valvonnasta kuitenkin siten, että turvataan sotaa vastustavien poliittisten aktivistien, riippumattomien toimittajien, ihmisoikeuksien puolustajien, kansalaisyhteiskunnan edustajien ja humanitaarisen avun tapausten pääsy;</w:t>
      </w:r>
    </w:p>
    <w:p w:rsidR="00AE62E0" w:rsidRPr="00A86559" w:rsidP="00CD0C6E" w14:paraId="4114478A" w14:textId="6BAA951A">
      <w:pPr>
        <w:pStyle w:val="NormalHanging12a"/>
        <w:widowControl/>
        <w:rPr>
          <w:rFonts w:eastAsia="Aptos"/>
          <w:kern w:val="2"/>
          <w14:ligatures w14:val="standardContextual"/>
        </w:rPr>
      </w:pPr>
      <w:r w:rsidRPr="00A86559">
        <w:t>19.</w:t>
      </w:r>
      <w:r w:rsidRPr="00A86559">
        <w:tab/>
        <w:t xml:space="preserve">kehottaa perustamaan erityisesti </w:t>
      </w:r>
      <w:bookmarkStart w:id="7" w:name="_Hlk232495892"/>
      <w:r w:rsidRPr="00A86559">
        <w:t>hybridiuhkia varten ja Venäjän hybridipakotejärjestelmien rinnalle</w:t>
      </w:r>
      <w:bookmarkEnd w:id="7"/>
      <w:r w:rsidRPr="00A86559">
        <w:t xml:space="preserve"> suunnitellun horisontaalisen EU:n pakotekehyksen, jotta voidaan korostaa Venäjän aktiivista osallistumista hybridioperaatioihin maailmanlaajuisesti ja mahdollistaa samalla pakotteiden nopeampi ja järjestelmällisempi asettaminen hybridikampanjoista vastuussa oleville toimijoille;</w:t>
      </w:r>
      <w:r w:rsidR="00F86653">
        <w:t xml:space="preserve"> </w:t>
      </w:r>
      <w:r w:rsidRPr="00F86653" w:rsidR="00F86653">
        <w:t xml:space="preserve">muistuttaa, että jotkut henkilöt, kuten </w:t>
      </w:r>
      <w:r w:rsidRPr="00F86653" w:rsidR="00F86653">
        <w:t>Ksenia</w:t>
      </w:r>
      <w:r w:rsidRPr="00F86653" w:rsidR="00F86653">
        <w:t xml:space="preserve"> </w:t>
      </w:r>
      <w:r w:rsidRPr="00F86653" w:rsidR="00F86653">
        <w:t>Fedorova</w:t>
      </w:r>
      <w:r w:rsidRPr="00F86653" w:rsidR="00F86653">
        <w:t xml:space="preserve"> Ranskassa, jotka työskentelivät pakotteiden kohteena olevien venäläisten propagandakanavien, kuten </w:t>
      </w:r>
      <w:r w:rsidRPr="00F86653" w:rsidR="00F86653">
        <w:t>RT:n</w:t>
      </w:r>
      <w:r w:rsidRPr="00F86653" w:rsidR="00F86653">
        <w:t xml:space="preserve">, hyväksi, </w:t>
      </w:r>
      <w:r w:rsidRPr="00F86653" w:rsidR="00F86653">
        <w:t>levittävät edelleen disinformaatiota Euroopassa; kehottaa sisällyttämään heidät pakotteiden kohteena olevien henkilöiden luetteloon seuraavassa pakotepaketissa;</w:t>
      </w:r>
    </w:p>
    <w:p w:rsidR="00AE62E0" w:rsidRPr="00A86559" w:rsidP="00CD0C6E" w14:paraId="420957C4" w14:textId="77777777">
      <w:pPr>
        <w:pStyle w:val="NormalHanging12a"/>
        <w:widowControl/>
        <w:rPr>
          <w:rFonts w:eastAsia="Aptos"/>
          <w:kern w:val="2"/>
          <w14:ligatures w14:val="standardContextual"/>
        </w:rPr>
      </w:pPr>
      <w:bookmarkStart w:id="8" w:name="_Hlk232495916"/>
      <w:r w:rsidRPr="00A86559">
        <w:t>20.</w:t>
      </w:r>
      <w:r w:rsidRPr="00A86559">
        <w:tab/>
        <w:t>kehottaa EU:ta ja sen jäsenvaltioita varmistamaan asianmukaisen rahoituksen väestönsuojien rakentamiseen ja kunnostamiseen itäisellä sivustalla ja muissa EU:n jäsenvaltioissa ja toteuttamaan EU:n laajuisia tiedotuskampanjoita ja siviilikriisinhallintaharjoituksia, jotta kansalaiset saavat tietoa tavasta toimia ilmahyökkäyksen tai vastaavan kriisitilanteen sattuessa</w:t>
      </w:r>
      <w:bookmarkEnd w:id="8"/>
      <w:r w:rsidRPr="00A86559">
        <w:t xml:space="preserve">; katsoo, että EU:n siviiliväestön suojelua ilmauhkilta on pidettävä olennaisena osana Euroopan puolustusvalmiutta, varautumista ja häiriönsietokykyä; korostaa, että seuraavassa monivuotisessa rahoituskehyksessä on kiireellisesti lisättävä turvallisuus- ja puolustusohjelmien ja </w:t>
      </w:r>
      <w:r w:rsidRPr="00A86559">
        <w:noBreakHyphen/>
        <w:t>hankkeiden rahoitusta keskittyen erityisesti itäisen sivustan maihin; kehottaa EU:ta ja sen jäsenvaltioita omaksumaan kokonaisvaltaisen, koko yhteiskunnan kattavan lähestymistavan, jossa otetaan huomioon, että kestävä turvallisuus edellyttää riittävien sotilasvoimavarojen lisäksi myös yhteiskunnallista yhteenkuuluvuutta, talouden häiriönsietokykyä, vakaata demokratiaa ja vahvoja julkisia palveluja;</w:t>
      </w:r>
    </w:p>
    <w:p w:rsidR="00AE62E0" w:rsidRPr="00A86559" w:rsidP="00CD0C6E" w14:paraId="7B78E3D9" w14:textId="77777777">
      <w:pPr>
        <w:pStyle w:val="NormalHanging12a"/>
        <w:widowControl/>
        <w:rPr>
          <w:rFonts w:eastAsia="Aptos"/>
          <w:kern w:val="2"/>
          <w14:ligatures w14:val="standardContextual"/>
        </w:rPr>
      </w:pPr>
      <w:r w:rsidRPr="00A86559">
        <w:t>21.</w:t>
      </w:r>
      <w:r w:rsidRPr="00A86559">
        <w:tab/>
        <w:t xml:space="preserve">korostaa, että Ukraina on kehittänyt vertaansa vailla olevaa operatiivista ja teollista asiantuntemusta </w:t>
      </w:r>
      <w:r w:rsidRPr="00A86559">
        <w:t>droonien</w:t>
      </w:r>
      <w:r w:rsidRPr="00A86559">
        <w:t xml:space="preserve"> tuotannossa ja </w:t>
      </w:r>
      <w:r w:rsidRPr="00A86559">
        <w:t>droonien</w:t>
      </w:r>
      <w:r w:rsidRPr="00A86559">
        <w:t xml:space="preserve"> torjuntajärjestelmissä; katsoo siksi, että EU:n ja Ukrainan puolustusteollisen yhteistyön syventäminen tällä alalla on strategisesti välttämätöntä; kehottaa EU:ta ja sen jäsenvaltioita integroimaan täysin Ukrainan asiantuntemuksen ja teolliset valmiudet Euroopan valmiuksien kehittämiseen epätavanomaisten ilmauhkien torjumiseksi;</w:t>
      </w:r>
    </w:p>
    <w:p w:rsidR="00AE62E0" w:rsidRPr="00A86559" w:rsidP="00CD0C6E" w14:paraId="67CA0061" w14:textId="77777777">
      <w:pPr>
        <w:pStyle w:val="NormalHanging12a"/>
        <w:widowControl/>
      </w:pPr>
      <w:r w:rsidRPr="00A86559">
        <w:t>22.</w:t>
      </w:r>
      <w:r w:rsidRPr="00A86559">
        <w:tab/>
        <w:t xml:space="preserve">korostaa, että Venäjältä tuleviin </w:t>
      </w:r>
      <w:r w:rsidRPr="00A86559">
        <w:t>drooniuhkiin</w:t>
      </w:r>
      <w:r w:rsidRPr="00A86559">
        <w:t xml:space="preserve"> vastaamisessa yhteistyö Moldovan tasavallan kanssa – Ukrainan ohella – on olennaisen tärkeää operatiivisen tehokkuuden, tilannetietoisuuden ja tietojenvaihdon kannalta; kehottaa siksi jäsenvaltioita lisäämään rahoitusta Moldovalle Euroopan rauhanrahaston kautta, myös kun otetaan huomioon, että Venäjän </w:t>
      </w:r>
      <w:r w:rsidRPr="00A86559">
        <w:t>droonit</w:t>
      </w:r>
      <w:r w:rsidRPr="00A86559">
        <w:t xml:space="preserve"> ja ohjukset ovat toistuvasti loukanneet Moldovan ilmatilaa; kehottaa lisäksi jäsenvaltioita ottamaan Moldovan ja Ukrainan mukaan yhteishankintoihin;</w:t>
      </w:r>
    </w:p>
    <w:p w:rsidR="00AE62E0" w:rsidRPr="00A86559" w:rsidP="00CD0C6E" w14:paraId="4B7D6F84" w14:textId="77777777">
      <w:pPr>
        <w:pStyle w:val="NormalHanging12a"/>
        <w:widowControl/>
        <w:rPr>
          <w:rFonts w:eastAsia="Aptos"/>
          <w:kern w:val="2"/>
          <w14:ligatures w14:val="standardContextual"/>
        </w:rPr>
      </w:pPr>
      <w:r w:rsidRPr="00A86559">
        <w:t>23.</w:t>
      </w:r>
      <w:r w:rsidRPr="00A86559">
        <w:tab/>
        <w:t xml:space="preserve">kehottaa jäsenvaltioita toimittamaan kiireellisesti yhteisessä valkoisessa kirjassa Euroopan puolustusvalmiudesta vuoteen 2030 mennessä määritetyt ensisijaiset voimavarat, joita ovat erityisesti ilma- ja ohjuspuolustus sekä </w:t>
      </w:r>
      <w:r w:rsidRPr="00A86559">
        <w:t>droonit</w:t>
      </w:r>
      <w:r w:rsidRPr="00A86559">
        <w:t xml:space="preserve"> ja </w:t>
      </w:r>
      <w:r w:rsidRPr="00A86559">
        <w:t>droonien</w:t>
      </w:r>
      <w:r w:rsidRPr="00A86559">
        <w:t xml:space="preserve"> torjuntajärjestelmät; </w:t>
      </w:r>
      <w:r w:rsidRPr="00A86559">
        <w:rPr>
          <w:rStyle w:val="normaltextrun"/>
          <w:color w:val="000000"/>
        </w:rPr>
        <w:t xml:space="preserve">kehottaa jäsenvaltioita perustamaan nopeasti itäiseltä sivustalta alkaen yhteisiä, monikerroksisia ja kustannustehokkaita </w:t>
      </w:r>
      <w:r w:rsidRPr="00A86559">
        <w:rPr>
          <w:rStyle w:val="normaltextrun"/>
          <w:color w:val="000000"/>
        </w:rPr>
        <w:t>droonien</w:t>
      </w:r>
      <w:r w:rsidRPr="00A86559">
        <w:rPr>
          <w:rStyle w:val="normaltextrun"/>
          <w:color w:val="000000"/>
        </w:rPr>
        <w:t xml:space="preserve"> torjuntajärjestelmiä, joilla pystytään havaitsemaan ja torjumaan EU:n ulkopuolelta ilma- ja meriteitse saapuvia uhkia</w:t>
      </w:r>
      <w:r w:rsidRPr="00A86559">
        <w:t xml:space="preserve"> muun muassa tehostetun ilma- ja merivalvonnan, varhaisvaroitusjärjestelmien, nopean toiminnan resurssien ja parannetun sotilaallisen liikkuvuuden infrastruktuurin avulla</w:t>
      </w:r>
      <w:r w:rsidRPr="00A86559">
        <w:rPr>
          <w:rStyle w:val="normaltextrun"/>
          <w:color w:val="000000"/>
        </w:rPr>
        <w:t>;</w:t>
      </w:r>
    </w:p>
    <w:p w:rsidR="00AE62E0" w:rsidRPr="00A86559" w:rsidP="00CD0C6E" w14:paraId="262BF279" w14:textId="77777777">
      <w:pPr>
        <w:pStyle w:val="NormalHanging12a"/>
        <w:widowControl/>
        <w:rPr>
          <w:rFonts w:eastAsia="Aptos"/>
          <w:kern w:val="2"/>
          <w14:ligatures w14:val="standardContextual"/>
        </w:rPr>
      </w:pPr>
      <w:r w:rsidRPr="00A86559">
        <w:t>24.</w:t>
      </w:r>
      <w:r w:rsidRPr="00A86559">
        <w:tab/>
        <w:t xml:space="preserve">kehottaa perustamaan </w:t>
      </w:r>
      <w:r w:rsidRPr="00A86559">
        <w:t>droonisodankäynnin</w:t>
      </w:r>
      <w:r w:rsidRPr="00A86559">
        <w:t xml:space="preserve"> eurooppalaisen osaamiskeskuksen, jossa ukrainalaiset kouluttajat siirtävät asiantuntemustaan EU:n jäsenvaltioille;</w:t>
      </w:r>
    </w:p>
    <w:p w:rsidR="00AE62E0" w:rsidRPr="00A86559" w:rsidP="00CD0C6E" w14:paraId="7F01C56C" w14:textId="77777777">
      <w:pPr>
        <w:pStyle w:val="NormalHanging12a"/>
        <w:widowControl/>
        <w:rPr>
          <w:rFonts w:eastAsia="Aptos"/>
          <w:kern w:val="2"/>
          <w14:ligatures w14:val="standardContextual"/>
        </w:rPr>
      </w:pPr>
      <w:r w:rsidRPr="00A86559">
        <w:t>25.</w:t>
      </w:r>
      <w:r w:rsidRPr="00A86559">
        <w:tab/>
        <w:t xml:space="preserve">kehottaa panemaan kaikilta osin ja ripeästi täytäntöön eurooppalaisen </w:t>
      </w:r>
      <w:r w:rsidRPr="00A86559">
        <w:t>droonipuolustusaloitteen</w:t>
      </w:r>
      <w:r w:rsidRPr="00A86559">
        <w:t xml:space="preserve"> ja itäisen sivustan valvontaa koskevan aloitteen; kehottaa jäsenvaltioita osallistumaan aktiivisesti molempiin aloitteisiin ja edistämään niitä tiiviissä yhteistyössä Naton kanssa;</w:t>
      </w:r>
    </w:p>
    <w:p w:rsidR="00A86559" w:rsidRPr="00A86559" w:rsidP="00CD0C6E" w14:paraId="01FFCCA7" w14:textId="318EAE33">
      <w:pPr>
        <w:pStyle w:val="NormalHanging12a"/>
        <w:widowControl/>
      </w:pPr>
      <w:r w:rsidRPr="00A86559">
        <w:t xml:space="preserve">26. </w:t>
      </w:r>
      <w:r w:rsidRPr="00A86559">
        <w:tab/>
        <w:t xml:space="preserve">kehottaa puhemiestä välittämään tämän päätöslauselman neuvostolle, komissiolle, jäsenvaltioiden hallituksille ja parlamenteille, Naton pääsihteerille, Unescolle, Euroopan </w:t>
      </w:r>
      <w:r w:rsidRPr="00A86559">
        <w:t xml:space="preserve">turvallisuus- ja yhteistyöjärjestölle, Euroopan neuvostolle, Ukrainan presidentille, hallitukselle ja </w:t>
      </w:r>
      <w:r w:rsidRPr="00A86559">
        <w:t>Verhovna</w:t>
      </w:r>
      <w:r w:rsidRPr="00A86559">
        <w:t xml:space="preserve"> Radalle, Venäjän vallanpitäjille ja Lukašenkan hallinnon tosiasiallisille vallanpitäjille.</w:t>
      </w:r>
    </w:p>
    <w:sectPr w:rsidSect="00A865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F6F8C" w:rsidRPr="00A86559" w14:paraId="1772D7FA" w14:textId="77777777">
      <w:r w:rsidRPr="00A86559">
        <w:separator/>
      </w:r>
    </w:p>
  </w:footnote>
  <w:footnote w:type="continuationSeparator" w:id="1">
    <w:p w:rsidR="006F6F8C" w:rsidRPr="00A86559" w14:paraId="0A3C7D3B" w14:textId="77777777">
      <w:r w:rsidRPr="00A86559">
        <w:continuationSeparator/>
      </w:r>
    </w:p>
  </w:footnote>
  <w:footnote w:id="2">
    <w:p w:rsidR="00AE62E0" w:rsidRPr="00A86559" w:rsidP="00C05CCB" w14:paraId="332080BC" w14:textId="560F5DA2">
      <w:pPr>
        <w:pStyle w:val="FootnoteText"/>
        <w:keepLines w:val="0"/>
        <w:ind w:left="567" w:hanging="567"/>
        <w:rPr>
          <w:sz w:val="24"/>
          <w:lang w:val="fi-FI"/>
        </w:rPr>
      </w:pPr>
      <w:r w:rsidRPr="00A86559">
        <w:rPr>
          <w:rStyle w:val="FootnoteReference"/>
          <w:sz w:val="24"/>
          <w:lang w:val="fi-FI"/>
        </w:rPr>
        <w:footnoteRef/>
      </w:r>
      <w:r w:rsidRPr="00A86559" w:rsidR="00A86559">
        <w:rPr>
          <w:sz w:val="24"/>
          <w:lang w:val="fi-FI"/>
        </w:rPr>
        <w:t xml:space="preserve"> </w:t>
      </w:r>
      <w:r w:rsidRPr="00A86559" w:rsidR="00A86559">
        <w:rPr>
          <w:sz w:val="24"/>
          <w:lang w:val="fi-FI"/>
        </w:rPr>
        <w:tab/>
      </w:r>
      <w:r w:rsidRPr="00A86559">
        <w:rPr>
          <w:sz w:val="24"/>
          <w:lang w:val="fi-FI"/>
        </w:rPr>
        <w:t xml:space="preserve">EUVL C, C/2026/1530, 15.4.2026, </w:t>
      </w:r>
      <w:r w:rsidRPr="00961875" w:rsidR="00C05CCB">
        <w:rPr>
          <w:sz w:val="24"/>
          <w:lang w:val="fi-FI"/>
        </w:rPr>
        <w:t xml:space="preserve">ELI: </w:t>
      </w:r>
      <w:hyperlink r:id="rId1" w:history="1">
        <w:r w:rsidRPr="00961875" w:rsidR="00C05CCB">
          <w:rPr>
            <w:rStyle w:val="Hyperlink"/>
            <w:sz w:val="24"/>
            <w:lang w:val="fi-FI"/>
          </w:rPr>
          <w:t>http://data.europa.eu/eli/C/2026/1530/oj</w:t>
        </w:r>
      </w:hyperlink>
      <w:r w:rsidRPr="00A86559">
        <w:rPr>
          <w:sz w:val="24"/>
          <w:lang w:val="fi-FI"/>
        </w:rPr>
        <w:t xml:space="preserve">. </w:t>
      </w:r>
    </w:p>
  </w:footnote>
  <w:footnote w:id="3">
    <w:p w:rsidR="00AE62E0" w:rsidRPr="00A86559" w:rsidP="00CD0C6E" w14:paraId="00F779A1" w14:textId="1C0EA203">
      <w:pPr>
        <w:pStyle w:val="FootnoteText"/>
        <w:keepLines w:val="0"/>
        <w:ind w:left="567" w:hanging="567"/>
        <w:rPr>
          <w:sz w:val="24"/>
          <w:lang w:val="fi-FI"/>
        </w:rPr>
      </w:pPr>
      <w:r w:rsidRPr="00A86559">
        <w:rPr>
          <w:rStyle w:val="FootnoteReference"/>
          <w:sz w:val="24"/>
          <w:lang w:val="fi-FI"/>
        </w:rPr>
        <w:footnoteRef/>
      </w:r>
      <w:r w:rsidRPr="00A86559" w:rsidR="00A86559">
        <w:rPr>
          <w:sz w:val="24"/>
          <w:lang w:val="fi-FI"/>
        </w:rPr>
        <w:t xml:space="preserve"> </w:t>
      </w:r>
      <w:r w:rsidRPr="00A86559" w:rsidR="00A86559">
        <w:rPr>
          <w:sz w:val="24"/>
          <w:lang w:val="fi-FI"/>
        </w:rPr>
        <w:tab/>
      </w:r>
      <w:r w:rsidRPr="00A86559">
        <w:rPr>
          <w:sz w:val="24"/>
          <w:lang w:val="fi-FI"/>
        </w:rPr>
        <w:t xml:space="preserve">EUVL C, C/2025/3151, 20.6.2025, </w:t>
      </w:r>
      <w:r w:rsidRPr="00961875" w:rsidR="00C05CCB">
        <w:rPr>
          <w:sz w:val="24"/>
          <w:lang w:val="fi-FI"/>
        </w:rPr>
        <w:t xml:space="preserve">ELI: </w:t>
      </w:r>
      <w:hyperlink r:id="rId2" w:history="1">
        <w:r w:rsidRPr="00961875" w:rsidR="00C05CCB">
          <w:rPr>
            <w:rStyle w:val="Hyperlink"/>
            <w:sz w:val="24"/>
            <w:lang w:val="fi-FI"/>
          </w:rPr>
          <w:t>http://data.europa.eu/eli/C/2025/3151/oj</w:t>
        </w:r>
      </w:hyperlink>
      <w:r w:rsidRPr="00A86559">
        <w:rPr>
          <w:sz w:val="24"/>
          <w:lang w:val="fi-FI"/>
        </w:rPr>
        <w:t>.</w:t>
      </w:r>
    </w:p>
  </w:footnote>
  <w:footnote w:id="4">
    <w:p w:rsidR="00AE62E0" w:rsidRPr="00A86559" w:rsidP="00CD0C6E" w14:paraId="3101B3FC" w14:textId="056F1443">
      <w:pPr>
        <w:pStyle w:val="FootnoteText"/>
        <w:keepLines w:val="0"/>
        <w:ind w:left="567" w:hanging="567"/>
        <w:rPr>
          <w:sz w:val="24"/>
          <w:lang w:val="fi-FI"/>
        </w:rPr>
      </w:pPr>
      <w:r w:rsidRPr="00A86559">
        <w:rPr>
          <w:rStyle w:val="FootnoteReference"/>
          <w:sz w:val="24"/>
          <w:lang w:val="fi-FI"/>
        </w:rPr>
        <w:footnoteRef/>
      </w:r>
      <w:r w:rsidRPr="00A86559" w:rsidR="00A86559">
        <w:rPr>
          <w:sz w:val="24"/>
          <w:lang w:val="fi-FI"/>
        </w:rPr>
        <w:t xml:space="preserve"> </w:t>
      </w:r>
      <w:r w:rsidRPr="00A86559" w:rsidR="00A86559">
        <w:rPr>
          <w:sz w:val="24"/>
          <w:lang w:val="fi-FI"/>
        </w:rPr>
        <w:tab/>
      </w:r>
      <w:r w:rsidRPr="00A86559">
        <w:rPr>
          <w:sz w:val="24"/>
          <w:lang w:val="fi-FI"/>
        </w:rPr>
        <w:t>(C(2025)7552).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6934074">
    <w:abstractNumId w:val="9"/>
  </w:num>
  <w:num w:numId="2" w16cid:durableId="833764180">
    <w:abstractNumId w:val="9"/>
  </w:num>
  <w:num w:numId="3" w16cid:durableId="864828002">
    <w:abstractNumId w:val="7"/>
  </w:num>
  <w:num w:numId="4" w16cid:durableId="469052491">
    <w:abstractNumId w:val="7"/>
  </w:num>
  <w:num w:numId="5" w16cid:durableId="494226540">
    <w:abstractNumId w:val="6"/>
  </w:num>
  <w:num w:numId="6" w16cid:durableId="1009409008">
    <w:abstractNumId w:val="6"/>
  </w:num>
  <w:num w:numId="7" w16cid:durableId="500464809">
    <w:abstractNumId w:val="5"/>
  </w:num>
  <w:num w:numId="8" w16cid:durableId="834759587">
    <w:abstractNumId w:val="5"/>
  </w:num>
  <w:num w:numId="9" w16cid:durableId="334262875">
    <w:abstractNumId w:val="4"/>
  </w:num>
  <w:num w:numId="10" w16cid:durableId="901333556">
    <w:abstractNumId w:val="4"/>
  </w:num>
  <w:num w:numId="11" w16cid:durableId="1360162442">
    <w:abstractNumId w:val="8"/>
  </w:num>
  <w:num w:numId="12" w16cid:durableId="1009793773">
    <w:abstractNumId w:val="8"/>
  </w:num>
  <w:num w:numId="13" w16cid:durableId="1718580672">
    <w:abstractNumId w:val="3"/>
  </w:num>
  <w:num w:numId="14" w16cid:durableId="1445534433">
    <w:abstractNumId w:val="3"/>
  </w:num>
  <w:num w:numId="15" w16cid:durableId="1416978920">
    <w:abstractNumId w:val="2"/>
  </w:num>
  <w:num w:numId="16" w16cid:durableId="1751272426">
    <w:abstractNumId w:val="2"/>
  </w:num>
  <w:num w:numId="17" w16cid:durableId="1491021472">
    <w:abstractNumId w:val="1"/>
  </w:num>
  <w:num w:numId="18" w16cid:durableId="2064911140">
    <w:abstractNumId w:val="1"/>
  </w:num>
  <w:num w:numId="19" w16cid:durableId="1896816227">
    <w:abstractNumId w:val="0"/>
  </w:num>
  <w:num w:numId="20" w16cid:durableId="186069973">
    <w:abstractNumId w:val="0"/>
  </w:num>
  <w:num w:numId="21" w16cid:durableId="879781691">
    <w:abstractNumId w:val="9"/>
  </w:num>
  <w:num w:numId="22" w16cid:durableId="1686444584">
    <w:abstractNumId w:val="7"/>
  </w:num>
  <w:num w:numId="23" w16cid:durableId="1812627394">
    <w:abstractNumId w:val="6"/>
  </w:num>
  <w:num w:numId="24" w16cid:durableId="1399009963">
    <w:abstractNumId w:val="5"/>
  </w:num>
  <w:num w:numId="25" w16cid:durableId="598294021">
    <w:abstractNumId w:val="4"/>
  </w:num>
  <w:num w:numId="26" w16cid:durableId="766344028">
    <w:abstractNumId w:val="8"/>
  </w:num>
  <w:num w:numId="27" w16cid:durableId="1384792635">
    <w:abstractNumId w:val="3"/>
  </w:num>
  <w:num w:numId="28" w16cid:durableId="277301291">
    <w:abstractNumId w:val="2"/>
  </w:num>
  <w:num w:numId="29" w16cid:durableId="895974841">
    <w:abstractNumId w:val="1"/>
  </w:num>
  <w:num w:numId="30" w16cid:durableId="620110923">
    <w:abstractNumId w:val="0"/>
  </w:num>
  <w:num w:numId="31" w16cid:durableId="1938323200">
    <w:abstractNumId w:val="9"/>
  </w:num>
  <w:num w:numId="32" w16cid:durableId="762800392">
    <w:abstractNumId w:val="7"/>
  </w:num>
  <w:num w:numId="33" w16cid:durableId="1342780866">
    <w:abstractNumId w:val="6"/>
  </w:num>
  <w:num w:numId="34" w16cid:durableId="1440680148">
    <w:abstractNumId w:val="5"/>
  </w:num>
  <w:num w:numId="35" w16cid:durableId="456029817">
    <w:abstractNumId w:val="4"/>
  </w:num>
  <w:num w:numId="36" w16cid:durableId="1199466833">
    <w:abstractNumId w:val="8"/>
  </w:num>
  <w:num w:numId="37" w16cid:durableId="2120174423">
    <w:abstractNumId w:val="3"/>
  </w:num>
  <w:num w:numId="38" w16cid:durableId="1583025582">
    <w:abstractNumId w:val="2"/>
  </w:num>
  <w:num w:numId="39" w16cid:durableId="1172725119">
    <w:abstractNumId w:val="1"/>
  </w:num>
  <w:num w:numId="40" w16cid:durableId="361369494">
    <w:abstractNumId w:val="0"/>
  </w:num>
  <w:num w:numId="41" w16cid:durableId="1790933576">
    <w:abstractNumId w:val="10"/>
  </w:num>
  <w:num w:numId="42" w16cid:durableId="1045368666">
    <w:abstractNumId w:val="10"/>
  </w:num>
  <w:num w:numId="43" w16cid:durableId="747121151">
    <w:abstractNumId w:val="10"/>
  </w:num>
  <w:num w:numId="44" w16cid:durableId="12316477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F8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2EF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6F8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011"/>
    <w:rsid w:val="00930C23"/>
    <w:rsid w:val="0093193B"/>
    <w:rsid w:val="009509D8"/>
    <w:rsid w:val="00950B64"/>
    <w:rsid w:val="00961875"/>
    <w:rsid w:val="00981893"/>
    <w:rsid w:val="00A1687D"/>
    <w:rsid w:val="00A43E52"/>
    <w:rsid w:val="00A4678D"/>
    <w:rsid w:val="00A57FE3"/>
    <w:rsid w:val="00A778C7"/>
    <w:rsid w:val="00A86559"/>
    <w:rsid w:val="00AB441E"/>
    <w:rsid w:val="00AB6293"/>
    <w:rsid w:val="00AE0928"/>
    <w:rsid w:val="00AE62E0"/>
    <w:rsid w:val="00AF3B82"/>
    <w:rsid w:val="00B12E95"/>
    <w:rsid w:val="00B22876"/>
    <w:rsid w:val="00B558F0"/>
    <w:rsid w:val="00BB5D2C"/>
    <w:rsid w:val="00BD48FE"/>
    <w:rsid w:val="00BD7BD8"/>
    <w:rsid w:val="00BE6ADC"/>
    <w:rsid w:val="00C05BFE"/>
    <w:rsid w:val="00C05CCB"/>
    <w:rsid w:val="00C23CD4"/>
    <w:rsid w:val="00C61C0C"/>
    <w:rsid w:val="00C941CB"/>
    <w:rsid w:val="00CC2357"/>
    <w:rsid w:val="00CD0C6E"/>
    <w:rsid w:val="00CF071A"/>
    <w:rsid w:val="00D058B8"/>
    <w:rsid w:val="00D52F8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59D"/>
    <w:rsid w:val="00F74202"/>
    <w:rsid w:val="00F86653"/>
    <w:rsid w:val="00F87713"/>
    <w:rsid w:val="00FB4360"/>
    <w:rsid w:val="00FD0C70"/>
  </w:rsids>
  <w:docVars>
    <w:docVar w:name="dvdocse" w:val="B10-0304/2026"/>
    <w:docVar w:name="dvlangue" w:val="FI"/>
    <w:docVar w:name="dvnumam" w:val="0"/>
    <w:docVar w:name="dvpe" w:val="783.361"/>
    <w:docVar w:name="dvtitre" w:val="Euroopan parlamentin päätöslauselma 18. kesäkuuta 2026 Venäjän tuomittavista provokaatioista ja droonien tunkeutumisesta ilmatilaan Romaniassa, Baltian maissa ja Suomessa(2026/277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9E1797"/>
  <w15:chartTrackingRefBased/>
  <w15:docId w15:val="{A839EAC5-F366-4313-97ED-BEE64F417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E62E0"/>
    <w:pPr>
      <w:spacing w:after="240"/>
      <w:ind w:left="567" w:hanging="567"/>
    </w:pPr>
  </w:style>
  <w:style w:type="paragraph" w:customStyle="1" w:styleId="EPComma">
    <w:name w:val="EPComma"/>
    <w:basedOn w:val="Normal"/>
    <w:link w:val="EPCommaChar"/>
    <w:rsid w:val="00AE62E0"/>
    <w:pPr>
      <w:spacing w:before="480" w:after="240"/>
    </w:pPr>
  </w:style>
  <w:style w:type="character" w:customStyle="1" w:styleId="EPCommaChar">
    <w:name w:val="EPComma Char"/>
    <w:basedOn w:val="DefaultParagraphFont"/>
    <w:link w:val="EPComma"/>
    <w:rsid w:val="00AE62E0"/>
    <w:rPr>
      <w:sz w:val="24"/>
      <w:lang w:val="fi-FI"/>
    </w:rPr>
  </w:style>
  <w:style w:type="character" w:customStyle="1" w:styleId="normaltextrun">
    <w:name w:val="normaltextrun"/>
    <w:basedOn w:val="DefaultParagraphFont"/>
    <w:rsid w:val="00AE62E0"/>
  </w:style>
  <w:style w:type="character" w:styleId="Hyperlink">
    <w:name w:val="Hyperlink"/>
    <w:basedOn w:val="DefaultParagraphFont"/>
    <w:rsid w:val="00AE62E0"/>
    <w:rPr>
      <w:color w:val="0563C1" w:themeColor="hyperlink"/>
      <w:u w:val="single"/>
    </w:rPr>
  </w:style>
  <w:style w:type="paragraph" w:styleId="Footer">
    <w:name w:val="footer"/>
    <w:basedOn w:val="Normal"/>
    <w:link w:val="FooterChar"/>
    <w:rsid w:val="00CD0C6E"/>
    <w:pPr>
      <w:tabs>
        <w:tab w:val="center" w:pos="4513"/>
        <w:tab w:val="right" w:pos="9026"/>
      </w:tabs>
    </w:pPr>
  </w:style>
  <w:style w:type="character" w:customStyle="1" w:styleId="FooterChar">
    <w:name w:val="Footer Char"/>
    <w:basedOn w:val="DefaultParagraphFont"/>
    <w:link w:val="Footer"/>
    <w:rsid w:val="00CD0C6E"/>
    <w:rPr>
      <w:sz w:val="24"/>
      <w:lang w:val="fi-FI"/>
    </w:rPr>
  </w:style>
  <w:style w:type="paragraph" w:styleId="Revision">
    <w:name w:val="Revision"/>
    <w:hidden/>
    <w:uiPriority w:val="99"/>
    <w:semiHidden/>
    <w:rsid w:val="00CD0C6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2300</Words>
  <Characters>19935</Characters>
  <Application>Microsoft Office Word</Application>
  <DocSecurity>0</DocSecurity>
  <Lines>166</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2026-06-18T13:42:00Z</dcterms:created>
  <dcterms:modified xsi:type="dcterms:W3CDTF">2026-06-18T13:42:00Z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B10-0304/2026</vt:lpwstr>
  </property>
  <property fmtid="{D5CDD505-2E9C-101B-9397-08002B2CF9AE}" pid="4" name="&lt;Type&gt;">
    <vt:lpwstr>RR</vt:lpwstr>
  </property>
</Properties>
</file>