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C5E972A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573C4" w:rsidP="0010095E" w14:paraId="22A40FF8" w14:textId="77777777">
            <w:pPr>
              <w:pStyle w:val="EPName"/>
            </w:pPr>
            <w:r w:rsidRPr="00C573C4">
              <w:t>Europski parlament</w:t>
            </w:r>
          </w:p>
          <w:p w:rsidR="00751A4A" w:rsidRPr="00C573C4" w:rsidP="005F1B17" w14:paraId="0B0554EB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573C4">
              <w:t>2024</w:t>
            </w:r>
            <w:r w:rsidRPr="00C573C4" w:rsidR="00817416">
              <w:t>-202</w:t>
            </w:r>
            <w:r w:rsidRPr="00C573C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C573C4" w:rsidP="0010095E" w14:paraId="66977B35" w14:textId="77777777">
            <w:pPr>
              <w:pStyle w:val="EPLogo"/>
            </w:pPr>
            <w:r w:rsidRPr="00C573C4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573C4" w:rsidP="004C5D52" w14:paraId="33DA0A37" w14:textId="77777777">
      <w:pPr>
        <w:pStyle w:val="LineTop"/>
      </w:pPr>
    </w:p>
    <w:p w:rsidR="00680577" w:rsidRPr="00C573C4" w:rsidP="00680577" w14:paraId="4EC69F4B" w14:textId="77777777">
      <w:pPr>
        <w:pStyle w:val="EPBodyTA1"/>
      </w:pPr>
      <w:r w:rsidRPr="00C573C4">
        <w:t>USVOJENI TEKSTOVI</w:t>
      </w:r>
    </w:p>
    <w:p w:rsidR="00D058B8" w:rsidRPr="00C573C4" w:rsidP="00D058B8" w14:paraId="34D9ECBE" w14:textId="77777777">
      <w:pPr>
        <w:pStyle w:val="LineBottom"/>
      </w:pPr>
    </w:p>
    <w:p w:rsidR="00A2731D" w:rsidRPr="00C573C4" w:rsidP="00A2731D" w14:paraId="275C0F77" w14:textId="58E061E6">
      <w:pPr>
        <w:pStyle w:val="ATHeading1"/>
      </w:pPr>
      <w:bookmarkStart w:id="0" w:name="TANumber"/>
      <w:r w:rsidRPr="00C573C4">
        <w:t>P10_TA(2026)0</w:t>
      </w:r>
      <w:bookmarkEnd w:id="0"/>
      <w:r w:rsidR="00AA27DB">
        <w:t>231</w:t>
      </w:r>
    </w:p>
    <w:p w:rsidR="00A2731D" w:rsidRPr="00C573C4" w:rsidP="00A2731D" w14:paraId="11CA04ED" w14:textId="77777777">
      <w:pPr>
        <w:pStyle w:val="ATHeading2"/>
      </w:pPr>
      <w:bookmarkStart w:id="1" w:name="title"/>
      <w:r w:rsidRPr="00C573C4">
        <w:t>Neprihvatljiva provokativna djelovanja Rusije i upadi bespilotnih letjelica u Rumunjsku, baltičke države i Finsku</w:t>
      </w:r>
      <w:bookmarkEnd w:id="1"/>
    </w:p>
    <w:p w:rsidR="00A2731D" w:rsidRPr="00C573C4" w:rsidP="00A2731D" w14:paraId="0E2BB086" w14:textId="1B535A5F">
      <w:pPr>
        <w:rPr>
          <w:i/>
          <w:vanish/>
        </w:rPr>
      </w:pPr>
      <w:r>
        <w:rPr>
          <w:i/>
        </w:rPr>
        <w:fldChar w:fldCharType="begin"/>
      </w:r>
      <w:r w:rsidRPr="00C573C4">
        <w:rPr>
          <w:i/>
        </w:rPr>
        <w:instrText xml:space="preserve"> TC"(</w:instrText>
      </w:r>
      <w:bookmarkStart w:id="2" w:name="DocNumber"/>
      <w:r w:rsidRPr="00C573C4">
        <w:rPr>
          <w:i/>
        </w:rPr>
        <w:instrText>B10-0304</w:instrText>
      </w:r>
      <w:r w:rsidRPr="00AA27DB" w:rsidR="00CD5D2A">
        <w:rPr>
          <w:i/>
        </w:rPr>
        <w:instrText>, 0307, 0308, 0309 i 0311</w:instrText>
      </w:r>
      <w:r w:rsidRPr="00C573C4">
        <w:rPr>
          <w:i/>
        </w:rPr>
        <w:instrText>/2026</w:instrText>
      </w:r>
      <w:bookmarkEnd w:id="2"/>
      <w:r w:rsidRPr="00C573C4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A2731D" w:rsidRPr="00C573C4" w:rsidP="00A2731D" w14:paraId="3D1FAF8A" w14:textId="77777777">
      <w:pPr>
        <w:rPr>
          <w:vanish/>
        </w:rPr>
      </w:pPr>
      <w:bookmarkStart w:id="3" w:name="PE"/>
      <w:r w:rsidRPr="00C573C4">
        <w:rPr>
          <w:vanish/>
        </w:rPr>
        <w:t>PE783.361</w:t>
      </w:r>
      <w:bookmarkEnd w:id="3"/>
    </w:p>
    <w:p w:rsidR="00A2731D" w:rsidRPr="00C573C4" w:rsidP="00A2731D" w14:paraId="039E1714" w14:textId="5F28E704">
      <w:pPr>
        <w:pStyle w:val="ATHeading3"/>
      </w:pPr>
      <w:bookmarkStart w:id="4" w:name="Sujet"/>
      <w:r w:rsidRPr="00C573C4">
        <w:t xml:space="preserve">Rezolucija Europskog parlamenta od </w:t>
      </w:r>
      <w:r w:rsidR="00CD5D2A">
        <w:t>18. lipnja</w:t>
      </w:r>
      <w:r w:rsidRPr="00C573C4">
        <w:t xml:space="preserve"> 2026. o neprihvatljivim provokativnim djelovanjima Rusije i upadima bespilotnih letjelica u Rumunjsku, baltičke države i Finsku</w:t>
      </w:r>
      <w:bookmarkEnd w:id="4"/>
      <w:r w:rsidRPr="00C573C4">
        <w:t xml:space="preserve"> </w:t>
      </w:r>
      <w:bookmarkStart w:id="5" w:name="References"/>
      <w:r w:rsidRPr="00C573C4">
        <w:t>(2026/2772(RSP))</w:t>
      </w:r>
      <w:bookmarkEnd w:id="5"/>
    </w:p>
    <w:p w:rsidR="00384966" w:rsidRPr="00C573C4" w:rsidP="00384966" w14:paraId="518101D9" w14:textId="77777777">
      <w:pPr>
        <w:pStyle w:val="EPComma"/>
      </w:pPr>
      <w:bookmarkStart w:id="6" w:name="TextBodyBegin"/>
      <w:bookmarkEnd w:id="6"/>
      <w:r w:rsidRPr="00C573C4">
        <w:rPr>
          <w:i/>
          <w:iCs/>
        </w:rPr>
        <w:t>Europski parlament,</w:t>
      </w:r>
    </w:p>
    <w:p w:rsidR="00384966" w:rsidRPr="00C573C4" w:rsidP="00384966" w14:paraId="5D30CB08" w14:textId="77777777">
      <w:pPr>
        <w:pStyle w:val="NormalHanging12a"/>
      </w:pPr>
      <w:r w:rsidRPr="00C573C4">
        <w:t>–</w:t>
      </w:r>
      <w:r w:rsidRPr="00C573C4">
        <w:tab/>
        <w:t>uzimajući u obzir svoje prethodne rezolucije o Rusiji i Ukrajini, a posebno onu od 9. listopada 2025. o ujedinjenom odgovoru na nedavne ruske povrede zračnog prostora i kritične infrastrukture država članica EU-a</w:t>
      </w:r>
      <w:r>
        <w:rPr>
          <w:rStyle w:val="FootnoteReference"/>
        </w:rPr>
        <w:footnoteReference w:id="2"/>
      </w:r>
      <w:r w:rsidRPr="00C573C4">
        <w:t>,</w:t>
      </w:r>
    </w:p>
    <w:p w:rsidR="00384966" w:rsidRPr="00C573C4" w:rsidP="00384966" w14:paraId="33E9CCA5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C573C4">
        <w:t>–</w:t>
      </w:r>
      <w:r w:rsidRPr="00C573C4">
        <w:tab/>
        <w:t>uzimajući u obzir Povelju UN-a i temeljna načela međunarodnog prava,</w:t>
      </w:r>
    </w:p>
    <w:p w:rsidR="00384966" w:rsidRPr="00C573C4" w:rsidP="00384966" w14:paraId="2B5CAE82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C573C4">
        <w:t>–</w:t>
      </w:r>
      <w:r w:rsidRPr="00C573C4">
        <w:tab/>
        <w:t>uzimajući u obzir Ugovor o Europskoj uniji (UEU), posebno njegov članak 24. stavak 3., članak 42. stavak 7. i članak 222.,</w:t>
      </w:r>
    </w:p>
    <w:p w:rsidR="00384966" w:rsidRPr="00C573C4" w:rsidP="00384966" w14:paraId="1D9F7F87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C573C4">
        <w:t>–</w:t>
      </w:r>
      <w:r w:rsidRPr="00C573C4">
        <w:tab/>
        <w:t>uzimajući u obzir Sjevernoatlantski ugovor od 4. travnja 1949., posebno njegove članke 4. i 5.,</w:t>
      </w:r>
    </w:p>
    <w:p w:rsidR="00384966" w:rsidRPr="00C573C4" w:rsidP="00384966" w14:paraId="0AEC30C4" w14:textId="77777777">
      <w:pPr>
        <w:pStyle w:val="NormalHanging12a"/>
      </w:pPr>
      <w:r w:rsidRPr="00C573C4">
        <w:t>–</w:t>
      </w:r>
      <w:r w:rsidRPr="00C573C4">
        <w:tab/>
        <w:t>uzimajući u obzir zajedničku komunikaciju Komisije i visoke predstavnice Unije za vanjske poslove i sigurnosnu politiku od 19. ožujka 2025. naslovljenu „Zajednička bijela knjiga o europskoj obrambenoj spremnosti 2030.” (JOIN(2025)0120) i svoju rezoluciju od 12. ožujka 2025. o toj temi</w:t>
      </w:r>
      <w:r>
        <w:rPr>
          <w:rStyle w:val="FootnoteReference"/>
        </w:rPr>
        <w:footnoteReference w:id="3"/>
      </w:r>
      <w:r w:rsidRPr="00C573C4">
        <w:t>,</w:t>
      </w:r>
    </w:p>
    <w:p w:rsidR="00384966" w:rsidRPr="00C573C4" w:rsidP="00384966" w14:paraId="22179710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C573C4">
        <w:t>–</w:t>
      </w:r>
      <w:r w:rsidRPr="00C573C4">
        <w:tab/>
        <w:t>uzimajući u obzir zajedničku komunikaciju Komisije i visoke predstavnice Unije za vanjske poslove i sigurnosnu politiku od 16. listopada 2025. naslovljenu „Očuvanje mira – Plan za obrambenu pripravnost do 2030.” (JOIN(2025)0027),</w:t>
      </w:r>
    </w:p>
    <w:p w:rsidR="00384966" w:rsidRPr="00C573C4" w:rsidP="00384966" w14:paraId="7E0AFBB4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C573C4">
        <w:t>–</w:t>
      </w:r>
      <w:r w:rsidRPr="00C573C4">
        <w:tab/>
        <w:t>uzimajući u obzir zaključke Europskog vijeća od 19. ožujka 2026. o kontinuiranoj potpori EU-a Ukrajini,</w:t>
      </w:r>
    </w:p>
    <w:p w:rsidR="00384966" w:rsidRPr="00C573C4" w:rsidP="00384966" w14:paraId="06671FC1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C573C4">
        <w:t>–</w:t>
      </w:r>
      <w:r w:rsidRPr="00C573C4">
        <w:tab/>
        <w:t xml:space="preserve">uzimajući u obzir izjave predsjednice Komisije Ursule von </w:t>
      </w:r>
      <w:r w:rsidRPr="00C573C4">
        <w:t>der</w:t>
      </w:r>
      <w:r w:rsidRPr="00C573C4">
        <w:t xml:space="preserve"> </w:t>
      </w:r>
      <w:r w:rsidRPr="00C573C4">
        <w:t>Leyen</w:t>
      </w:r>
      <w:r w:rsidRPr="00C573C4">
        <w:t xml:space="preserve"> od </w:t>
      </w:r>
      <w:r w:rsidRPr="00C573C4">
        <w:t>20. svibnja 2026. o ruskim prijetnjama baltičkim državama,</w:t>
      </w:r>
    </w:p>
    <w:p w:rsidR="00384966" w:rsidRPr="00C573C4" w:rsidP="00384966" w14:paraId="3D39F03A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C573C4">
        <w:t>–</w:t>
      </w:r>
      <w:r w:rsidRPr="00C573C4">
        <w:tab/>
        <w:t xml:space="preserve">uzimajući u obzir izjavu potpredsjednice Komisije / visoke predstavnice Unije za vanjske poslove i sigurnosnu politiku Kaje </w:t>
      </w:r>
      <w:r w:rsidRPr="00C573C4">
        <w:t>Kallas</w:t>
      </w:r>
      <w:r w:rsidRPr="00C573C4">
        <w:t xml:space="preserve"> od 29. svibnja 2026. u kojoj osuđuje nesmotrenu rusku povredu zračnog prostora EU-a,</w:t>
      </w:r>
    </w:p>
    <w:p w:rsidR="00384966" w:rsidRPr="00C573C4" w:rsidP="00384966" w14:paraId="72C1B4FD" w14:textId="77777777">
      <w:pPr>
        <w:pStyle w:val="NormalHanging12a"/>
      </w:pPr>
      <w:r w:rsidRPr="00C573C4">
        <w:t>–</w:t>
      </w:r>
      <w:r w:rsidRPr="00C573C4">
        <w:tab/>
        <w:t>uzimajući u obzir članak 136. stavke 2. i 4. Poslovnika,</w:t>
      </w:r>
    </w:p>
    <w:p w:rsidR="00384966" w:rsidRPr="00C573C4" w:rsidP="00384966" w14:paraId="0C493889" w14:textId="77777777">
      <w:pPr>
        <w:pStyle w:val="NormalHanging12a"/>
      </w:pPr>
      <w:r w:rsidRPr="00C573C4">
        <w:t>A.</w:t>
      </w:r>
      <w:r w:rsidRPr="00C573C4">
        <w:tab/>
        <w:t xml:space="preserve">budući da je prije više od četiri godine Rusija započela nezakonitu, ničim izazvanu i neopravdanu opću ratnu agresiju na Ukrajinu, koja se nastavila na pripojenje Krima iz 2014. i na okupaciju dijelova regije </w:t>
      </w:r>
      <w:r w:rsidRPr="00C573C4">
        <w:t>Donbas</w:t>
      </w:r>
      <w:r w:rsidRPr="00C573C4">
        <w:t>, što je očito kršenje međunarodnog prava i teritorijalnog suvereniteta Ukrajine; budući da od početka opće ruske invazije na Ukrajinu dolazi do upada u zračni prostor EU-a i NATO-a, koje izvodi Rusija, ali su se njihova učestalost i intenzitet odnedavno povećali;</w:t>
      </w:r>
    </w:p>
    <w:p w:rsidR="00384966" w:rsidRPr="00C573C4" w:rsidP="00384966" w14:paraId="700AA586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C573C4">
        <w:t>B.</w:t>
      </w:r>
      <w:r w:rsidRPr="00C573C4">
        <w:tab/>
        <w:t xml:space="preserve">budući da se vojna prisutnost Rusije duž istočne granice EU-a povećava te da uključuje i državno područje </w:t>
      </w:r>
      <w:r w:rsidRPr="00C573C4">
        <w:t>Bjelarusa</w:t>
      </w:r>
      <w:r w:rsidRPr="00C573C4">
        <w:t xml:space="preserve">, koji sudjeluje u ruskoj ratnoj agresiji na Ukrajinu i hibridnim napadima na EU, posebno </w:t>
      </w:r>
      <w:r w:rsidRPr="00C573C4">
        <w:t>instrumentalizacijom</w:t>
      </w:r>
      <w:r w:rsidRPr="00C573C4">
        <w:t xml:space="preserve"> nezakonitih migracija, organiziranog kriminala i dezinformacija te lansiranjem meteoroloških balona, koji su ozbiljna sigurnosna prijetnja, uključujući stalno ometanje civilnog zrakoplovstva, teroriziranje država koje graniče s </w:t>
      </w:r>
      <w:r w:rsidRPr="00C573C4">
        <w:t>Bjelarusom</w:t>
      </w:r>
      <w:r w:rsidRPr="00C573C4">
        <w:t>, kao što su Latvija, Litva i Poljska, te nanošenje štete lokalnim gospodarstvima;</w:t>
      </w:r>
    </w:p>
    <w:p w:rsidR="00384966" w:rsidRPr="00C573C4" w:rsidP="00384966" w14:paraId="637D0A00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C573C4">
        <w:t>C.</w:t>
      </w:r>
      <w:r w:rsidRPr="00C573C4">
        <w:tab/>
        <w:t>budući da su Estonija, Finska, Latvija, Litva, Rumunjska i druge države članice EU-a meta ruskih pokušaja destabilizacije, i to u obliku upada bespilotnih letjelica i povreda zračnog prostora, propagande i dezinformacija, elektroničkog ratovanja, upletanja u globalni navigacijski satelitski sustav, kibernetičkih napada i sabotaža;</w:t>
      </w:r>
    </w:p>
    <w:p w:rsidR="00384966" w:rsidRPr="00C573C4" w:rsidP="00384966" w14:paraId="4EF599CF" w14:textId="77777777">
      <w:pPr>
        <w:pStyle w:val="NormalHanging12a"/>
      </w:pPr>
      <w:r w:rsidRPr="00C573C4">
        <w:t>D.</w:t>
      </w:r>
      <w:r w:rsidRPr="00C573C4">
        <w:tab/>
        <w:t xml:space="preserve">budući da se 29. svibnja 2026. jedna ruska bespilotna letjelica srušila na stambenu zgradu u </w:t>
      </w:r>
      <w:r w:rsidRPr="00C573C4">
        <w:t>Galațiju</w:t>
      </w:r>
      <w:r w:rsidRPr="00C573C4">
        <w:t xml:space="preserve"> u Rumunjskoj, što je dovelo do eksplozije u kojoj su ozlijeđene dvije osobe; budući da je to bio prvi takav incident na državnom području jedne države članice EU-a i NATO-a koji je doveo do ozljeda koje su iziskivale liječenje; budući da se više od 70 osoba moralo evakuirati;</w:t>
      </w:r>
    </w:p>
    <w:p w:rsidR="00384966" w:rsidRPr="00C573C4" w:rsidP="00384966" w14:paraId="3F1A850C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C573C4">
        <w:t>E.</w:t>
      </w:r>
      <w:r w:rsidRPr="00C573C4">
        <w:tab/>
        <w:t>budući da je 19. svibnja 2026. rumunjski borbeni zrakoplov koji je sudjelovao u NATO-ovoj misiji nadzora baltičkog zračnog prostora oborio bespilotnu letjelicu koja je letjela estonskim zračnim prostorom; budući da je 20. svibnja 2026. upad neidentificirane bespilotne letjelice u litavski zračni prostor prisilio vlasti da izdaju dosad nezabilježeno upozorenje o zračnom napadu, zbog čega su civili bili prisiljeni otići u sklonište; budući da su 8. lipnja 2026. francuski borbeni zrakoplovi NATO-a, koji su sudjelovali u NATO-ovoj misiji, srušili bespilotne letjelice iznad Latvije; budući da su ti upadi bespilotnih letjelica izravna posljedica ruske ratne agresije na Ukrajinu, pri čemu većina njih ulazi u zračni prostor EU-a zbog ruskog elektroničkog ratovanja; budući da su u ožujku 2026. zbog upletanja ruskih sustava za elektroničko ratovanje najmanje tri ukrajinske bespilotne letjelice preusmjerene s planiranog smjera te su ušle na finsko državno područje, na kojemu su se i srušile;</w:t>
      </w:r>
    </w:p>
    <w:p w:rsidR="00384966" w:rsidRPr="00C573C4" w:rsidP="00384966" w14:paraId="776EF7F2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C573C4">
        <w:t>F.</w:t>
      </w:r>
      <w:r w:rsidRPr="00C573C4">
        <w:tab/>
        <w:t xml:space="preserve">budući da je 29. svibnja 2026. u rumunjskoj luci </w:t>
      </w:r>
      <w:r w:rsidRPr="00C573C4">
        <w:t>Constanța</w:t>
      </w:r>
      <w:r w:rsidRPr="00C573C4">
        <w:t xml:space="preserve"> eksplodirala ukrajinska pomorska bespilotna letjelica, i to zbog mjera elektroničkog ratovanja koje primjenjuje Ruska Federacija, što je prouzročilo štetu na imovini, ali ne i ljudske žrtve;</w:t>
      </w:r>
    </w:p>
    <w:p w:rsidR="00384966" w:rsidRPr="00C573C4" w:rsidP="00384966" w14:paraId="772AEFE7" w14:textId="58010FB2">
      <w:pPr>
        <w:pStyle w:val="NormalHanging12a"/>
        <w:rPr>
          <w:spacing w:val="-2"/>
        </w:rPr>
      </w:pPr>
      <w:r w:rsidRPr="00C573C4">
        <w:t>G.</w:t>
      </w:r>
      <w:r w:rsidRPr="00C573C4">
        <w:tab/>
        <w:t xml:space="preserve">budući da su 7. svibnja 2026. dvije ukrajinske bespilotne letjelice, koje su ometali ruski sustavi za elektroničko ratovanje, pogodile skladište goriva u </w:t>
      </w:r>
      <w:r w:rsidRPr="00C573C4">
        <w:t>Rēzekneu</w:t>
      </w:r>
      <w:r w:rsidRPr="00C573C4">
        <w:t xml:space="preserve"> u Latviji; </w:t>
      </w:r>
    </w:p>
    <w:p w:rsidR="00384966" w:rsidRPr="00C573C4" w:rsidP="00384966" w14:paraId="45426DD3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C573C4">
        <w:t>H.</w:t>
      </w:r>
      <w:r w:rsidRPr="00C573C4">
        <w:tab/>
        <w:t>budući da je u regiji Baltičkog mora visoko koncentrirana kritična infrastruktura, uključujući podmorske energetske i telekomunikacijske mreže, prometne veze i ostala strateška sredstva, zbog čega je ta regija posebno osjetljiva na hibridne napade, sabotažu i prijetnje povezane s bespilotnim letjelicama; budući da zaštita kritične infrastrukture iziskuje i fizičko jačanje i povećanu redundanciju i decentralizaciju, što je vidljivo iz iskustava stečenih tijekom ruskih napada na ukrajinsku infrastrukturu;</w:t>
      </w:r>
    </w:p>
    <w:p w:rsidR="00384966" w:rsidRPr="00C573C4" w:rsidP="00384966" w14:paraId="207C09B3" w14:textId="77777777">
      <w:pPr>
        <w:pStyle w:val="NormalHanging12a"/>
      </w:pPr>
      <w:r w:rsidRPr="00C573C4">
        <w:t>I.</w:t>
      </w:r>
      <w:r w:rsidRPr="00C573C4">
        <w:tab/>
      </w:r>
      <w:r w:rsidRPr="00C573C4">
        <w:rPr>
          <w:rStyle w:val="normaltextrun"/>
          <w:color w:val="000000"/>
        </w:rPr>
        <w:t xml:space="preserve">budući da je razgradnja nuklearne elektrane </w:t>
      </w:r>
      <w:r w:rsidRPr="00C573C4">
        <w:rPr>
          <w:rStyle w:val="normaltextrun"/>
          <w:color w:val="000000"/>
        </w:rPr>
        <w:t>Ignalina</w:t>
      </w:r>
      <w:r w:rsidRPr="00C573C4">
        <w:rPr>
          <w:rStyle w:val="normaltextrun"/>
          <w:color w:val="000000"/>
        </w:rPr>
        <w:t xml:space="preserve"> u Litvi znatna regionalna sigurnosna i ekološka opasnost zbog prisutnosti velikih količina istrošenog nuklearnog goriva i radioaktivnog otpada uskladištenih u privremenim nadzemnim objektima te budući da bi svaka nesreća na toj kritičnoj infrastrukturi ili namjerna provokacija povezana s njom mogla imati teške posljedice za cijelu baltičku regiju</w:t>
      </w:r>
      <w:r w:rsidRPr="00C573C4">
        <w:t>;</w:t>
      </w:r>
    </w:p>
    <w:p w:rsidR="00384966" w:rsidRPr="00C573C4" w:rsidP="00384966" w14:paraId="518CEDE5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C573C4">
        <w:t>J.</w:t>
      </w:r>
      <w:r w:rsidRPr="00C573C4">
        <w:tab/>
        <w:t>budući da je bilo još ozbiljnih incidenata u vezi s kojima je postojala sumnja da je Rusija prekršila zračni prostor država članica EU-a;</w:t>
      </w:r>
    </w:p>
    <w:p w:rsidR="00384966" w:rsidRPr="00C573C4" w:rsidP="00384966" w14:paraId="268F4A2D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C573C4">
        <w:t>K.</w:t>
      </w:r>
      <w:r w:rsidRPr="00C573C4">
        <w:tab/>
        <w:t>budući da su sigurnost i zaštita država članica EU-a na njegovoj istočnoj granici neposredan prioritet i zajednička europska odgovornost, posebno s obzirom na to da se hibridni napadi provode modernim ratovanjem bespilotnim letjelicama, a to je područje u kojem kapaciteti država članica EU-a nisu ni približno potpuni;</w:t>
      </w:r>
    </w:p>
    <w:p w:rsidR="00384966" w:rsidRPr="00C573C4" w:rsidP="00384966" w14:paraId="621D6DF9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C573C4">
        <w:t>L.</w:t>
      </w:r>
      <w:r w:rsidRPr="00C573C4">
        <w:tab/>
        <w:t>budući da su incidenti s bespilotnim letjelicama na istočnoj granici EU-a razotkrili znatne nedostatke i u vojnoj i u civilnoj pripravnosti; budući da se pokazalo da postojeći radarski sustavi često ne mogu pratiti objekte na niskoj nadmorskoj visini, da su metode odabrane za presretanje bespilotnih letjelica ekonomski neučinkovite i da su izvješća o incidentima pokazala da su neka skloništa od zračnih napada bila zaključana ili nedostupna javnosti; budući da ti propusti ukazuju na hitne sistemske slabosti u postupcima upozoravanja i reagiranja te u široj otpornosti društva;</w:t>
      </w:r>
    </w:p>
    <w:p w:rsidR="00384966" w:rsidRPr="00C573C4" w:rsidP="00384966" w14:paraId="1E10CA31" w14:textId="77777777">
      <w:pPr>
        <w:pStyle w:val="NormalHanging12a"/>
        <w:rPr>
          <w:rStyle w:val="normaltextrun"/>
          <w:rFonts w:eastAsia="Aptos"/>
          <w:color w:val="000000"/>
          <w:kern w:val="2"/>
          <w:szCs w:val="22"/>
          <w14:ligatures w14:val="standardContextual"/>
        </w:rPr>
      </w:pPr>
      <w:r w:rsidRPr="00C573C4">
        <w:rPr>
          <w:rStyle w:val="normaltextrun"/>
          <w:color w:val="000000"/>
        </w:rPr>
        <w:t>M.</w:t>
      </w:r>
      <w:r w:rsidRPr="00C573C4">
        <w:rPr>
          <w:rStyle w:val="normaltextrun"/>
          <w:color w:val="000000"/>
        </w:rPr>
        <w:tab/>
        <w:t>budući da je Rusija tijekom posljednjih napada na Ukrajinu, među ostalim neprocjenjivim lokalitetima kulturne baštine, zapalila</w:t>
      </w:r>
      <w:r w:rsidRPr="00C573C4">
        <w:t xml:space="preserve"> Kijevsko-</w:t>
      </w:r>
      <w:r w:rsidRPr="00C573C4">
        <w:t>pečersku</w:t>
      </w:r>
      <w:r w:rsidRPr="00C573C4">
        <w:t xml:space="preserve"> </w:t>
      </w:r>
      <w:r w:rsidRPr="00C573C4">
        <w:t>lavru</w:t>
      </w:r>
      <w:r w:rsidRPr="00C573C4">
        <w:t>, povijesni samostan istočnog kršćanstva i spomenik svjetske baštine UNESCO-a;</w:t>
      </w:r>
    </w:p>
    <w:p w:rsidR="00384966" w:rsidRPr="00C573C4" w:rsidP="00384966" w14:paraId="05298063" w14:textId="77777777">
      <w:pPr>
        <w:pStyle w:val="NormalHanging12a"/>
      </w:pPr>
      <w:r w:rsidRPr="00C573C4">
        <w:t>N.</w:t>
      </w:r>
      <w:r w:rsidRPr="00C573C4">
        <w:tab/>
        <w:t xml:space="preserve">budući da ti nedavni incidenti s bespilotnim letjelicama ukazuju na hitnu potrebu za višeslojnim obrambenim kapacitetima koji uključuju kinetičke i </w:t>
      </w:r>
      <w:r w:rsidRPr="00C573C4">
        <w:t>nekinetičke</w:t>
      </w:r>
      <w:r w:rsidRPr="00C573C4">
        <w:t xml:space="preserve"> obrambene bespilotne zračne sustave; budući da su bespilotne letjelice postale ključna značajka modernog ratovanja i hibridnih sukoba te da je njihova upotreba u Ukrajini iz temelja promijenila obrambene zahtjeve i operativne doktrine na cijelom kontinentu;</w:t>
      </w:r>
    </w:p>
    <w:p w:rsidR="00384966" w:rsidRPr="00C573C4" w:rsidP="00384966" w14:paraId="242F0D7D" w14:textId="77777777">
      <w:pPr>
        <w:pStyle w:val="NormalHanging12a"/>
      </w:pPr>
      <w:r w:rsidRPr="00C573C4">
        <w:t>O.</w:t>
      </w:r>
      <w:r w:rsidRPr="00C573C4">
        <w:tab/>
        <w:t>budući da Arktik i krajnji sjever postaju sve važniji za europsku sigurnost, dok se zbog ograničene pokrivenosti senzorima i rijetke stalne prisutnosti stvara ranjivost koju neprijateljski akteri mogu pokušati iskoristiti bespilotnim sustavima i hibridnim operacijama, zbog čega se povećava rizik od neprijateljskih upada bespilotnim letjelicama duboko na područje EU-a;</w:t>
      </w:r>
    </w:p>
    <w:p w:rsidR="00384966" w:rsidRPr="00C573C4" w:rsidP="00384966" w14:paraId="3C253EBD" w14:textId="77777777">
      <w:pPr>
        <w:pStyle w:val="NormalHanging12a"/>
      </w:pPr>
      <w:r w:rsidRPr="00C573C4">
        <w:t>1.</w:t>
      </w:r>
      <w:r w:rsidRPr="00C573C4">
        <w:tab/>
        <w:t>oštro osuđuje neprihvatljiva provokativna djelovanja Rusije i upade bespilotnih letjelica u države članice EU-a;</w:t>
      </w:r>
    </w:p>
    <w:p w:rsidR="00384966" w:rsidRPr="00C573C4" w:rsidP="00384966" w14:paraId="7BE4B9B0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C573C4">
        <w:t>2.</w:t>
      </w:r>
      <w:r w:rsidRPr="00C573C4">
        <w:tab/>
        <w:t xml:space="preserve">ponovno izražava punu solidarnost s Estonijom, Finskom, Latvijom, Litvom i </w:t>
      </w:r>
      <w:r w:rsidRPr="00C573C4">
        <w:t>Rumunjskom, na čije su državno područje, zračni prostor i kritičnu infrastrukturu usmjerene ruske hibridne provokacije; ponovno potvrđuje da ruska kampanja destabilizacije neće zastrašiti EU i da je on ujedinjen u odlučnosti da brani sigurnost, suverenitet i teritorijalnu cjelovitost svih država članica EU-a te da nastavi podupirati Ukrajinu;</w:t>
      </w:r>
    </w:p>
    <w:p w:rsidR="00384966" w:rsidRPr="00C573C4" w:rsidP="00384966" w14:paraId="10B49DC3" w14:textId="77777777">
      <w:pPr>
        <w:pStyle w:val="NormalHanging12a"/>
        <w:rPr>
          <w:rStyle w:val="normaltextrun"/>
          <w:color w:val="000000"/>
        </w:rPr>
      </w:pPr>
      <w:r w:rsidRPr="00C573C4">
        <w:rPr>
          <w:rStyle w:val="normaltextrun"/>
          <w:color w:val="000000"/>
        </w:rPr>
        <w:t>3.</w:t>
      </w:r>
      <w:r w:rsidRPr="00C573C4">
        <w:rPr>
          <w:rStyle w:val="normaltextrun"/>
          <w:color w:val="000000"/>
        </w:rPr>
        <w:tab/>
        <w:t>prepoznaje posebnu ranjivost i izražava punu solidarnost s građanima u pograničnim regijama EU-a duž istočne granice, koji su najizloženiji ozbiljnim prijetnjama i koji zbog toga snose znatne gospodarske i socijalne troškove; poziva na poduzimanje ciljanih mjera na razini EU-a, uključujući namjensku financijsku potporu, kako bi se ojačala zaštita pogođenih zajednica i kritične infrastrukture te osigurali prevencija, pripravnost, otpornost i odgovor na hitne situacije, kao i obnova u tim posebno izloženim regijama;</w:t>
      </w:r>
    </w:p>
    <w:p w:rsidR="00384966" w:rsidRPr="00C573C4" w:rsidP="00384966" w14:paraId="7C14E906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C573C4">
        <w:t>4.</w:t>
      </w:r>
      <w:r w:rsidRPr="00C573C4">
        <w:tab/>
        <w:t xml:space="preserve">nedvosmisleno osuđuje napad ruskih bespilotnih letjelica na stambenu zgradu u </w:t>
      </w:r>
      <w:r w:rsidRPr="00C573C4">
        <w:t>Galațiju</w:t>
      </w:r>
      <w:r w:rsidRPr="00C573C4">
        <w:t xml:space="preserve"> u Rumunjskoj, koji je prouzročio izravne civilne žrtve, što predstavlja ozbiljnu i zabrinjavajuću eskalaciju; smatra da opetovani upadi bespilotnih letjelica u zemlje EU-a i povrede njihova zračnog prostora nisu izolirani incidenti, već sastavni dio šire ruske strategije zastrašivanja usmjerene protiv EU-a i njegovih saveznika;</w:t>
      </w:r>
    </w:p>
    <w:p w:rsidR="00384966" w:rsidRPr="00C573C4" w:rsidP="00384966" w14:paraId="493C8B4F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C573C4">
        <w:t>5.</w:t>
      </w:r>
      <w:r w:rsidRPr="00C573C4">
        <w:tab/>
      </w:r>
      <w:r w:rsidRPr="00C573C4">
        <w:rPr>
          <w:rStyle w:val="normaltextrun"/>
          <w:color w:val="000000"/>
        </w:rPr>
        <w:t xml:space="preserve">izjavljuje da Rusija snosi punu i nedvosmislenu odgovornost za te nepromišljene napade koji dovode u opasnost živote; ponavlja da djela Ruske Federacije predstavljaju namjernu, sustavnu i trajnu prijetnju sigurnosti, otpornosti i suverenitetu EU-a i njegovih država članica; </w:t>
      </w:r>
      <w:r w:rsidRPr="00C573C4">
        <w:t xml:space="preserve">ponovno najoštrije osuđuje nezakonitu, neizazvanu i neopravdanu ratnu agresiju Rusije na Ukrajinu, kao i sudioništvo </w:t>
      </w:r>
      <w:r w:rsidRPr="00C573C4">
        <w:t>Bjelarusa</w:t>
      </w:r>
      <w:r w:rsidRPr="00C573C4">
        <w:t xml:space="preserve">; oštro osuđuje odluku Rusije da nastavi s ratnom agresijom, uključujući njezine najnovije ciljane napade na lokalitete kulturne baštine i svetište </w:t>
      </w:r>
      <w:r w:rsidRPr="00C573C4">
        <w:t>Kijevo-pečersku</w:t>
      </w:r>
      <w:r w:rsidRPr="00C573C4">
        <w:t xml:space="preserve"> </w:t>
      </w:r>
      <w:r w:rsidRPr="00C573C4">
        <w:t>lavru</w:t>
      </w:r>
      <w:r w:rsidRPr="00C573C4">
        <w:t xml:space="preserve">, koje je uvršteno na UNESCO-ov popis svjetske baštine, te odbija izravne pregovore s Ukrajinom, kao one koje je nedavno predložio ukrajinski predsjednik </w:t>
      </w:r>
      <w:r w:rsidRPr="00C573C4">
        <w:t>Volodimir</w:t>
      </w:r>
      <w:r w:rsidRPr="00C573C4">
        <w:t xml:space="preserve"> </w:t>
      </w:r>
      <w:r w:rsidRPr="00C573C4">
        <w:t>Zelenski</w:t>
      </w:r>
      <w:r w:rsidRPr="00C573C4">
        <w:t>;</w:t>
      </w:r>
    </w:p>
    <w:p w:rsidR="00384966" w:rsidRPr="00C573C4" w:rsidP="00384966" w14:paraId="32B9208E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C573C4">
        <w:t>6.</w:t>
      </w:r>
      <w:r w:rsidRPr="00C573C4">
        <w:tab/>
        <w:t xml:space="preserve">ponovno osuđuje namjerno ometanje signala GNSS-a od strane Rusije u regijama Baltičkog i Crnog mora te namjerno lansiranje meteoroloških balona u </w:t>
      </w:r>
      <w:r w:rsidRPr="00C573C4">
        <w:t>Bjelarusu</w:t>
      </w:r>
      <w:r w:rsidRPr="00C573C4">
        <w:t xml:space="preserve">, što predstavlja ozbiljan sigurnosni rizik za civilno zrakoplovstvo i pomorski promet; nadalje, osuđuje </w:t>
      </w:r>
      <w:r w:rsidRPr="00C573C4">
        <w:t>Bjelarus</w:t>
      </w:r>
      <w:r w:rsidRPr="00C573C4">
        <w:t xml:space="preserve"> zbog hibridnih napada na EU;</w:t>
      </w:r>
    </w:p>
    <w:p w:rsidR="00384966" w:rsidRPr="00C573C4" w:rsidP="00384966" w14:paraId="0322ACAD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C573C4">
        <w:t>7.</w:t>
      </w:r>
      <w:r w:rsidRPr="00C573C4">
        <w:tab/>
        <w:t>ponovno poziva da se hitno ubrza proizvodnja i isporuka prioritetne vojne opreme Ukrajini, posebno sustava protuzračne obrane, streljiva, bespilotnih letjelica i projektila, u kritičnom trenutku kada akutni nedostaci u kapacitetima protuzračne obrane dovode do sve veće izloženosti ukrajinskog stanovništva i infrastrukture;</w:t>
      </w:r>
    </w:p>
    <w:p w:rsidR="00384966" w:rsidRPr="00C573C4" w:rsidP="00384966" w14:paraId="64470817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C573C4">
        <w:t>8.</w:t>
      </w:r>
      <w:r w:rsidRPr="00C573C4">
        <w:tab/>
        <w:t>ističe da te neprijateljske radnje dodatno pogoršava agresivna kampanja dezinformiranja čiji je cilj zastrašiti lokalno stanovništvo, širiti strah, naštetiti lokalnim gospodarstvima i postaviti temelje za moguće mjere odmazde, kao u slučaju neutemeljenih ruskih navoda da baltičke države dopuštaju Ukrajini da se koristi njihovim državnim područjem i zračnim prostorom za napade bespilotnim letjelicama na mete u Rusiji;</w:t>
      </w:r>
    </w:p>
    <w:p w:rsidR="00384966" w:rsidRPr="00C573C4" w:rsidP="00384966" w14:paraId="140E50BF" w14:textId="77777777">
      <w:pPr>
        <w:pStyle w:val="NormalHanging12a"/>
      </w:pPr>
      <w:r w:rsidRPr="00C573C4">
        <w:t>9.</w:t>
      </w:r>
      <w:r w:rsidRPr="00C573C4">
        <w:tab/>
        <w:t xml:space="preserve">ponovno poziva na hitnu uspostavu istinske europske obrambene unije, uključujući prijedloge za brze postupke donošenja odluka, koja nadilazi postojeće okvire, uključujući Bijelu knjigu o europskoj obrambenoj spremnosti 2030. i Plan za obrambenu pripravnost 2030. koji je uslijedio; naglašava da su bolja integracija, </w:t>
      </w:r>
      <w:r w:rsidRPr="00C573C4">
        <w:t>koordinacija i udruživanje resursa neophodni za djelotvoran odgovor EU-a na sve veće ruske prijetnje; poziva na jačanje europske obrambene tehnološke i industrijske baze i njezinih proizvodnih kapaciteta diljem EU-a pojačanom koordinacijom na razini EU-a, uz maksimalno iskorištavanje nacionalnih inicijativa i instrumenata EU-a;</w:t>
      </w:r>
    </w:p>
    <w:p w:rsidR="00384966" w:rsidRPr="00C573C4" w:rsidP="00384966" w14:paraId="043C7992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C573C4">
        <w:t>10.</w:t>
      </w:r>
      <w:r w:rsidRPr="00C573C4">
        <w:tab/>
        <w:t>poziva na daljnju operacionalizaciju klauzule solidarnosti (članak 222. Ugovora o funkcioniranju Europske unije) i klauzule o uzajamnoj pomoći (članak 42. stavak 7. Ugovora o Europskoj uniji), među ostalim ako se država članica na njih pozove zbog konvencionalnog ili hibridnog napada;</w:t>
      </w:r>
    </w:p>
    <w:p w:rsidR="00384966" w:rsidRPr="00C573C4" w:rsidP="00384966" w14:paraId="1F1082C6" w14:textId="77777777">
      <w:pPr>
        <w:pStyle w:val="NormalHanging12a"/>
      </w:pPr>
      <w:r w:rsidRPr="00C573C4">
        <w:t>11.</w:t>
      </w:r>
      <w:r w:rsidRPr="00C573C4">
        <w:tab/>
        <w:t>naglašava potrebu za dosljednim jačanjem istočne granice EU-a i NATO-a duž cijele njezine duljine od Arktika do Crnog mora, uključujući kopnenu, pomorsku i zračnu dimenziju, izgradnjom kapaciteta u najizloženijim državama članicama za borbu protiv bespilotnih letjelica i meteoroloških balona te dodjelom odgovarajućih resursa u tu svrhu; poziva EU i njegove države članice da hitno ojačaju kapacitete za otkrivanje, ometanje, presretanje i neutralizaciju duž istočne granice EU-a; nadalje traži redovite zajedničke vježbe između država članica, institucija EU-a, Ukrajine i NATO-a kako bi se testirala i poboljšala spremnost tih mehanizama za brzi odgovor;</w:t>
      </w:r>
    </w:p>
    <w:p w:rsidR="00384966" w:rsidRPr="00C573C4" w:rsidP="00384966" w14:paraId="5775AA43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C573C4">
        <w:t>12.</w:t>
      </w:r>
      <w:r w:rsidRPr="00C573C4">
        <w:tab/>
        <w:t>preporučuje da se sustavi za borbu protiv bespilotnih letjelica integriraju u zajedničke vježbe osposobljavanja i planiranje civilne zaštite na razini EU-a, s naglaskom na kritičnoj infrastrukturi koja policiji, nadležnim tijelima zračnih luka i subjektima iz sektora energetike omogućuje da pristupe osposobljavanju i standardiziranim kapacitetima sustava za borbu protiv bespilotnih letjelica u cijelom EU-u;</w:t>
      </w:r>
    </w:p>
    <w:p w:rsidR="00384966" w:rsidRPr="00C573C4" w:rsidP="00384966" w14:paraId="5811BF5B" w14:textId="77777777">
      <w:pPr>
        <w:pStyle w:val="NormalHanging12a"/>
      </w:pPr>
      <w:r w:rsidRPr="00C573C4">
        <w:t>13.</w:t>
      </w:r>
      <w:r w:rsidRPr="00C573C4">
        <w:tab/>
        <w:t>sa zabrinutošću ističe da su trenutačni europski sustavi za otkrivanje bespilotnih letjelica i obranu od njih neprimjereni te naglašava hitnu potrebu za poboljšanjem otkrivanja i obrane; u tom kontekstu naglašava potrebu za cjelovitim pristupom koji je usmjeren na bolje opremanje tijela kaznenog progona i civilnih tijela sredstvima za otkrivanje bespilotnih letjelica i obranu od njih;</w:t>
      </w:r>
    </w:p>
    <w:p w:rsidR="00384966" w:rsidRPr="00C573C4" w:rsidP="00384966" w14:paraId="3BE6D8EE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C573C4">
        <w:t>14.</w:t>
      </w:r>
      <w:r w:rsidRPr="00C573C4">
        <w:tab/>
        <w:t>potiče države članice da prednost daju integraciji interventnih službi, civilne obrane i obrambene doktrine sustava bespilotnih letjelica u sustave zapovjedništva i nadzora kako bi se osiguralo da civilna pripravnost, sklanjanje stanovništva, rano upozoravanje i tehnološka integracija budu na najvišoj mogućoj razini;</w:t>
      </w:r>
    </w:p>
    <w:p w:rsidR="00384966" w:rsidRPr="00C573C4" w:rsidP="00384966" w14:paraId="221CF842" w14:textId="77777777">
      <w:pPr>
        <w:pStyle w:val="NormalHanging12a"/>
      </w:pPr>
      <w:r w:rsidRPr="00C573C4">
        <w:t>15.</w:t>
      </w:r>
      <w:r w:rsidRPr="00C573C4">
        <w:tab/>
        <w:t xml:space="preserve">naglašava da namjerni upadi Rusije na istočnim granicama EU-a i NATO-a nisu osmišljeni samo da bi se provocirale i destabilizirale države članice, već i da bi se testirali i iskoristili nedostaci u sposobnostima NATO-a za otkrivanje i odgovor; uviđa da Rusija nastavlja svoje </w:t>
      </w:r>
      <w:r w:rsidRPr="00C573C4">
        <w:t>destabilizirajuće</w:t>
      </w:r>
      <w:r w:rsidRPr="00C573C4">
        <w:t xml:space="preserve"> aktivnosti u crnomorskoj regiji, i konvencionalnim i hibridnim djelovanjem, među ostalim upotrebom plutajućih mina, operacijama ometanja i prijetnjama slobodi plovidbe, zbog čega je jačanje sigurnosti u toj regiji strateški prioritet koji se mora hitno riješiti kao prijetnja europskoj sigurnosti;</w:t>
      </w:r>
    </w:p>
    <w:p w:rsidR="00384966" w:rsidRPr="00C573C4" w:rsidP="00384966" w14:paraId="4C6CAEA1" w14:textId="77777777">
      <w:pPr>
        <w:pStyle w:val="NormalHanging12a"/>
      </w:pPr>
      <w:r w:rsidRPr="00C573C4">
        <w:t>16.</w:t>
      </w:r>
      <w:r w:rsidRPr="00C573C4">
        <w:tab/>
        <w:t>poziva na potpunu provedbu strateškog pristupa EU-a Crnom moru i poziva na ubrzanje stvaranja crnomorskog centra za pomorsku sigurnost;</w:t>
      </w:r>
    </w:p>
    <w:p w:rsidR="00384966" w:rsidRPr="00C573C4" w:rsidP="00384966" w14:paraId="0074283D" w14:textId="77777777">
      <w:pPr>
        <w:pStyle w:val="NormalHanging12a"/>
      </w:pPr>
      <w:r w:rsidRPr="00C573C4">
        <w:t>17.</w:t>
      </w:r>
      <w:r w:rsidRPr="00C573C4">
        <w:tab/>
        <w:t xml:space="preserve">pozdravlja nedavno odobrenje 20. paketa sankcija EU-a protiv Rusije i predstavljanje 21. paketa sankcija; poziva Komisiju, izaslanika EU-a za sankcije i države članice da strogo provode nove i postojeće sankcije te da bez odgode daju prednost uklanjanju nedostataka u lancima opskrbe; poziva Komisiju da bez odgode razvije dodatne </w:t>
      </w:r>
      <w:r w:rsidRPr="00C573C4">
        <w:t>sankcije, uključujući sankcije za aluminij i druge strateške sirovine te robu s dvojnom namjenom, te potiče sve države članice da ne blokiraju takvo uvrštenje na popis na temelju nacionalnih gospodarskih interesa; podržava dodatne mjere za predstojeći paket sankcija usmjeren na energetski i financijski sektor Ruske Federacije, kao i zabranu ulaska u EU bivšim ruskim borcima koji su se borili u Ukrajini, te poziva države članice koje i dalje podupiru Rusku Federaciju da prekinu s takvom potporom;</w:t>
      </w:r>
    </w:p>
    <w:p w:rsidR="00384966" w:rsidRPr="00C573C4" w:rsidP="00384966" w14:paraId="03386629" w14:textId="77777777">
      <w:pPr>
        <w:pStyle w:val="NormalHanging12a"/>
      </w:pPr>
      <w:r w:rsidRPr="00C573C4">
        <w:t>18.</w:t>
      </w:r>
      <w:r w:rsidRPr="00C573C4">
        <w:tab/>
        <w:t>poziva države članice, posebno one koje izdaju većinu viza ruskim državljanima, da strogo provedu Provedbenu odluku Komisije od 6. studenoga 2025. o utvrđivanju prilagođenih pravila za izdavanje viza za višekratni ulazak ruskim državljanima koji borave u Ruskoj Federaciji i podnose zahtjev za vizu za kratkotrajni boravak u Ruskoj Federaciji</w:t>
      </w:r>
      <w:r>
        <w:rPr>
          <w:rStyle w:val="FootnoteReference"/>
        </w:rPr>
        <w:footnoteReference w:id="4"/>
      </w:r>
      <w:r w:rsidRPr="00C573C4">
        <w:t xml:space="preserve"> te da u potpunosti primjenjuju smjernice Komisije iz 2022. o pojačanom nadzoru, posebno za turistička i druga neobvezna putovanja, uz istodobnu zaštitu pristupa proturatnim političkim aktivistima, neovisnim novinarima, borcima za ljudska prava, predstavnicima civilnog društva i žrtvama humanitarne krize;</w:t>
      </w:r>
    </w:p>
    <w:p w:rsidR="00384966" w:rsidRPr="00C573C4" w:rsidP="00384966" w14:paraId="25B3D6A3" w14:textId="0671942C">
      <w:pPr>
        <w:pStyle w:val="NormalHanging12a"/>
        <w:rPr>
          <w:rFonts w:eastAsia="Aptos"/>
          <w:kern w:val="2"/>
          <w14:ligatures w14:val="standardContextual"/>
        </w:rPr>
      </w:pPr>
      <w:r w:rsidRPr="00C573C4">
        <w:t>19.</w:t>
      </w:r>
      <w:r w:rsidRPr="00C573C4">
        <w:tab/>
        <w:t xml:space="preserve">poziva na uspostavu horizontalnog okvira sankcija EU-a posebno osmišljenog za hibridne </w:t>
      </w:r>
      <w:bookmarkStart w:id="7" w:name="_Hlk232495892"/>
      <w:r w:rsidRPr="00C573C4">
        <w:t>prijetnje, koji bi postojao uz režim hibridnih sankcija za Rusiju</w:t>
      </w:r>
      <w:bookmarkEnd w:id="7"/>
      <w:r w:rsidRPr="00C573C4">
        <w:t>, kako bi se istaknulo aktivno sudjelovanje Rusije u hibridnim operacijama na globalnoj razini, uz istodobno omogućavanje bržeg i sustavnijeg sankcioniranja subjekata odgovornih za hibridne kampanje;</w:t>
      </w:r>
      <w:r w:rsidR="00AA27DB">
        <w:t xml:space="preserve"> </w:t>
      </w:r>
      <w:bookmarkStart w:id="8" w:name="_Hlk232686545"/>
      <w:r w:rsidRPr="00AA27DB" w:rsidR="00AA27DB">
        <w:t xml:space="preserve">podsjeća da neki pojedinci, među kojima je </w:t>
      </w:r>
      <w:r w:rsidRPr="00AA27DB" w:rsidR="00AA27DB">
        <w:t>Ksenia</w:t>
      </w:r>
      <w:r w:rsidRPr="00AA27DB" w:rsidR="00AA27DB">
        <w:t xml:space="preserve"> </w:t>
      </w:r>
      <w:r w:rsidRPr="00AA27DB" w:rsidR="00AA27DB">
        <w:t>Fedorova</w:t>
      </w:r>
      <w:r w:rsidRPr="00AA27DB" w:rsidR="00AA27DB">
        <w:t xml:space="preserve"> u Francuskoj, koja je radila za sankcionirane ruske </w:t>
      </w:r>
      <w:r w:rsidRPr="00371A9E" w:rsidR="00371A9E">
        <w:t>propagandne medijske kuće</w:t>
      </w:r>
      <w:r w:rsidRPr="00AA27DB" w:rsidR="00AA27DB">
        <w:t>, kao što je RT, i dalje šire dezinformacije u Europi; poziva na njihovo uvrštavanje na popis sankcioniranih pojedinaca u sljedećem paketu sankcija;</w:t>
      </w:r>
    </w:p>
    <w:p w:rsidR="00384966" w:rsidRPr="00C573C4" w:rsidP="00384966" w14:paraId="7F3E02D6" w14:textId="77777777">
      <w:pPr>
        <w:pStyle w:val="NormalHanging12a"/>
        <w:rPr>
          <w:rFonts w:eastAsia="Aptos"/>
          <w:kern w:val="2"/>
          <w14:ligatures w14:val="standardContextual"/>
        </w:rPr>
      </w:pPr>
      <w:bookmarkStart w:id="9" w:name="_Hlk232495916"/>
      <w:bookmarkEnd w:id="8"/>
      <w:r w:rsidRPr="00C573C4">
        <w:t>20.</w:t>
      </w:r>
      <w:r w:rsidRPr="00C573C4">
        <w:tab/>
        <w:t>poziva EU i njegove države članice da osiguraju odgovarajuća financijska sredstva za izgradnju i obnovu civilnih skloništa od zračnih napada u državama članicama na istočnim granicama i drugim državama članicama EU-a te da provedu informativne kampanje i civilne vježbe na razini EU-a kako bi se građane osvijestilo o tome što raditi u slučaju zračnog napada ili slične krizne situacije</w:t>
      </w:r>
      <w:bookmarkEnd w:id="9"/>
      <w:r w:rsidRPr="00C573C4">
        <w:t>; smatra da se zaštita civilnog stanovništva EU-a od zračnih prijetnji mora smatrati sastavnim dijelom europske obrambene pripravnosti, spremnosti i otpornosti; naglašava hitnu potrebu za povećanim financiranjem programa i projekata u području sigurnosti i obrane, s posebnim naglaskom na zemljama na istočnoj granici, u sljedećem višegodišnjem financijskom okviru; poziva EU i njegove države članice da usvoje sveobuhvatan pristup koji obuhvaća cijelo društvo, prepoznajući da trajna sigurnost zahtijeva ne samo odgovarajuće vojne kapacitete, već i socijalnu koheziju, gospodarsku otpornost, demokratsku stabilnost i snažne javne usluge;</w:t>
      </w:r>
    </w:p>
    <w:p w:rsidR="00384966" w:rsidRPr="00C573C4" w:rsidP="00384966" w14:paraId="08FFD893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C573C4">
        <w:t>21.</w:t>
      </w:r>
      <w:r w:rsidRPr="00C573C4">
        <w:tab/>
        <w:t>ističe da je Ukrajina razvila dosad nezabilježeno operativno i industrijsko stručno znanje u području proizvodnje bespilotnih letjelica i sustava za obranu od njih; stoga smatra da je produbljivanje suradnje EU-a i Ukrajine u području obrambene industrije u tom području strateški imperativ; poziva EU i njegove države članice da u potpunosti integriraju ukrajinsku stručnost i industrijske kapacitete u razvoj europskih kapaciteta za borbu protiv nekonvencionalnih zračnih prijetnji;</w:t>
      </w:r>
    </w:p>
    <w:p w:rsidR="00384966" w:rsidRPr="00C573C4" w:rsidP="00384966" w14:paraId="5A242ED5" w14:textId="77777777">
      <w:pPr>
        <w:pStyle w:val="NormalHanging12a"/>
      </w:pPr>
      <w:r w:rsidRPr="00C573C4">
        <w:t>22.</w:t>
      </w:r>
      <w:r w:rsidRPr="00C573C4">
        <w:tab/>
        <w:t xml:space="preserve">naglašava da je u rješavanju prijetnji povezanih s bespilotnim letjelicama koje dolaze iz Rusije suradnja s Republikom </w:t>
      </w:r>
      <w:r w:rsidRPr="00C573C4">
        <w:t>Moldovom</w:t>
      </w:r>
      <w:r w:rsidRPr="00C573C4">
        <w:t xml:space="preserve">, zajedno s Ukrajinom, ključna u pogledu operativne učinkovitosti, informiranosti o stanju i razmjene informacija; stoga poziva </w:t>
      </w:r>
      <w:r w:rsidRPr="00C573C4">
        <w:t xml:space="preserve">države članice da povećaju financijska sredstva za </w:t>
      </w:r>
      <w:r w:rsidRPr="00C573C4">
        <w:t>Moldovu</w:t>
      </w:r>
      <w:r w:rsidRPr="00C573C4">
        <w:t xml:space="preserve"> u okviru Europskog instrumenta mirovne pomoći, među ostalim s obzirom na opetovane povrede </w:t>
      </w:r>
      <w:r w:rsidRPr="00C573C4">
        <w:t>moldavskog</w:t>
      </w:r>
      <w:r w:rsidRPr="00C573C4">
        <w:t xml:space="preserve"> zračnog prostora od strane ruskih bespilotnih letjelica i projektila; nadalje poziva države članice da uključe </w:t>
      </w:r>
      <w:r w:rsidRPr="00C573C4">
        <w:t>Moldovu</w:t>
      </w:r>
      <w:r w:rsidRPr="00C573C4">
        <w:t xml:space="preserve"> i Ukrajinu u zajedničku nabavu;</w:t>
      </w:r>
    </w:p>
    <w:p w:rsidR="00384966" w:rsidRPr="00C573C4" w:rsidP="00384966" w14:paraId="39257A65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C573C4">
        <w:t>23.</w:t>
      </w:r>
      <w:r w:rsidRPr="00C573C4">
        <w:tab/>
        <w:t xml:space="preserve">poziva države članice da hitno osiguraju prioritetne kapacitete utvrđene u Bijeloj knjizi o europskoj obrambenoj spremnosti 2030., posebno sustave protuzračne i proturaketne obrane, kao i bespilotne letjelice te sustave protiv bespilotnih letjelica; </w:t>
      </w:r>
      <w:r w:rsidRPr="00C573C4">
        <w:rPr>
          <w:rStyle w:val="normaltextrun"/>
          <w:color w:val="000000"/>
        </w:rPr>
        <w:t>poziva države članice na brzu uspostavu zajedničkih, slojevitih, troškovno učinkovitih obrambenih sustava protiv bespilotnih letjelica, počevši od istočnih granica, koji mogu otkriti i presresti zračne i morske prijetnje izvan EU-a,</w:t>
      </w:r>
      <w:r w:rsidRPr="00C573C4">
        <w:t xml:space="preserve"> među ostalim pojačanim zračnim i pomorskim nadzorom, sustavima ranog upozoravanja, sredstvima za brzi odgovor i poboljšanom infrastrukturom za vojnu mobilnost</w:t>
      </w:r>
      <w:r w:rsidRPr="00C573C4">
        <w:rPr>
          <w:rStyle w:val="normaltextrun"/>
          <w:color w:val="000000"/>
        </w:rPr>
        <w:t>;</w:t>
      </w:r>
    </w:p>
    <w:p w:rsidR="00384966" w:rsidRPr="00C573C4" w:rsidP="00384966" w14:paraId="6DD54670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C573C4">
        <w:t>24.</w:t>
      </w:r>
      <w:r w:rsidRPr="00C573C4">
        <w:tab/>
        <w:t>poziva na uspostavu europskog centra izvrsnosti za ratovanje bespilotnim letjelicama, u kojem bi ukrajinski instruktori prenosili svoje stručno znanje državama članicama;</w:t>
      </w:r>
    </w:p>
    <w:p w:rsidR="00384966" w:rsidRPr="00C573C4" w:rsidP="00384966" w14:paraId="29FC170C" w14:textId="77777777">
      <w:pPr>
        <w:pStyle w:val="NormalHanging12a"/>
        <w:rPr>
          <w:rFonts w:eastAsia="Aptos"/>
          <w:kern w:val="2"/>
          <w14:ligatures w14:val="standardContextual"/>
        </w:rPr>
      </w:pPr>
      <w:r w:rsidRPr="00C573C4">
        <w:t>25.</w:t>
      </w:r>
      <w:r w:rsidRPr="00C573C4">
        <w:tab/>
        <w:t>poziva na potpunu i brzu provedbu Europske inicijative za obranu od bespilotnih zrakoplova i promatračke misije na istočnim granicama; poziva države članice da se aktivno uključe u obje inicijative i doprinesu im u bliskoj koordinaciji s NATO-om;</w:t>
      </w:r>
    </w:p>
    <w:p w:rsidR="00C573C4" w:rsidRPr="00C573C4" w:rsidP="00C573C4" w14:paraId="470CF19D" w14:textId="2D7E315C">
      <w:pPr>
        <w:pStyle w:val="NormalHanging12a"/>
      </w:pPr>
      <w:r w:rsidRPr="00C573C4">
        <w:t xml:space="preserve">26. </w:t>
      </w:r>
      <w:r w:rsidRPr="00C573C4">
        <w:tab/>
        <w:t xml:space="preserve">nalaže svojoj predsjednici da ovu Rezoluciju proslijedi Vijeću, Komisiji, vladama i parlamentima država članica, glavnom tajniku NATO-a, UNESCO-u, Organizaciji za europsku sigurnost i suradnju u Europi, Vijeću Europe, predsjedniku, vladi i Vrhovnoj radi Ukrajine te ruskim vlastima i de facto vlastima </w:t>
      </w:r>
      <w:r w:rsidRPr="00C573C4">
        <w:t>Lukašenkina</w:t>
      </w:r>
      <w:r w:rsidRPr="00C573C4">
        <w:t xml:space="preserve"> režima.</w:t>
      </w:r>
    </w:p>
    <w:p w:rsidR="00E365E1" w:rsidRPr="00C573C4" w:rsidP="00A2731D" w14:paraId="2910FFEC" w14:textId="1D2FC9BB"/>
    <w:sectPr w:rsidSect="00C573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573C4" w14:paraId="59C1033D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573C4" w14:paraId="6D68F12D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573C4" w14:paraId="2001F6A5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A2731D" w:rsidRPr="00C573C4" w14:paraId="667A229A" w14:textId="77777777">
      <w:r w:rsidRPr="00C573C4">
        <w:separator/>
      </w:r>
    </w:p>
  </w:footnote>
  <w:footnote w:type="continuationSeparator" w:id="1">
    <w:p w:rsidR="00A2731D" w:rsidRPr="00C573C4" w14:paraId="502D4499" w14:textId="77777777">
      <w:r w:rsidRPr="00C573C4">
        <w:continuationSeparator/>
      </w:r>
    </w:p>
  </w:footnote>
  <w:footnote w:id="2">
    <w:p w:rsidR="00384966" w:rsidRPr="00C573C4" w:rsidP="00C573C4" w14:paraId="03C41BAA" w14:textId="02FF4E15">
      <w:pPr>
        <w:pStyle w:val="FootnoteText"/>
        <w:ind w:left="567" w:hanging="567"/>
        <w:rPr>
          <w:sz w:val="24"/>
          <w:lang w:val="hr-HR"/>
        </w:rPr>
      </w:pPr>
      <w:r w:rsidRPr="00C573C4">
        <w:rPr>
          <w:rStyle w:val="FootnoteReference"/>
          <w:sz w:val="24"/>
          <w:lang w:val="hr-HR"/>
        </w:rPr>
        <w:footnoteRef/>
      </w:r>
      <w:r w:rsidRPr="00C573C4" w:rsidR="00C573C4">
        <w:rPr>
          <w:sz w:val="24"/>
          <w:lang w:val="hr-HR"/>
        </w:rPr>
        <w:t xml:space="preserve"> </w:t>
      </w:r>
      <w:r w:rsidRPr="00C573C4" w:rsidR="00C573C4">
        <w:rPr>
          <w:sz w:val="24"/>
          <w:lang w:val="hr-HR"/>
        </w:rPr>
        <w:tab/>
      </w:r>
      <w:r w:rsidRPr="00C573C4">
        <w:rPr>
          <w:sz w:val="24"/>
          <w:lang w:val="hr-HR"/>
        </w:rPr>
        <w:t xml:space="preserve">SL C, C/2026/1530, 15.4.2026., ELI: </w:t>
      </w:r>
      <w:hyperlink r:id="rId1" w:history="1">
        <w:r w:rsidRPr="00C573C4">
          <w:rPr>
            <w:rStyle w:val="Hyperlink"/>
            <w:sz w:val="24"/>
            <w:lang w:val="hr-HR"/>
          </w:rPr>
          <w:t>http://data.europa.eu/eli/C/2026/1530/oj</w:t>
        </w:r>
      </w:hyperlink>
      <w:r w:rsidRPr="00C573C4">
        <w:rPr>
          <w:sz w:val="24"/>
          <w:lang w:val="hr-HR"/>
        </w:rPr>
        <w:t xml:space="preserve">. </w:t>
      </w:r>
    </w:p>
  </w:footnote>
  <w:footnote w:id="3">
    <w:p w:rsidR="00384966" w:rsidRPr="00C573C4" w:rsidP="00C573C4" w14:paraId="1565EF6C" w14:textId="503031B8">
      <w:pPr>
        <w:pStyle w:val="FootnoteText"/>
        <w:ind w:left="567" w:hanging="567"/>
        <w:rPr>
          <w:sz w:val="24"/>
          <w:lang w:val="hr-HR"/>
        </w:rPr>
      </w:pPr>
      <w:r w:rsidRPr="00C573C4">
        <w:rPr>
          <w:rStyle w:val="FootnoteReference"/>
          <w:sz w:val="24"/>
          <w:lang w:val="hr-HR"/>
        </w:rPr>
        <w:footnoteRef/>
      </w:r>
      <w:r w:rsidRPr="00C573C4" w:rsidR="00C573C4">
        <w:rPr>
          <w:sz w:val="24"/>
          <w:lang w:val="hr-HR"/>
        </w:rPr>
        <w:t xml:space="preserve"> </w:t>
      </w:r>
      <w:r w:rsidRPr="00C573C4" w:rsidR="00C573C4">
        <w:rPr>
          <w:sz w:val="24"/>
          <w:lang w:val="hr-HR"/>
        </w:rPr>
        <w:tab/>
      </w:r>
      <w:r w:rsidRPr="00C573C4">
        <w:rPr>
          <w:sz w:val="24"/>
          <w:lang w:val="hr-HR"/>
        </w:rPr>
        <w:t xml:space="preserve">SL C, C/2025/3151, 20.6.2025., ELI: </w:t>
      </w:r>
      <w:hyperlink r:id="rId2" w:history="1">
        <w:r w:rsidRPr="00C573C4">
          <w:rPr>
            <w:rStyle w:val="Hyperlink"/>
            <w:sz w:val="24"/>
            <w:lang w:val="hr-HR"/>
          </w:rPr>
          <w:t>http://data.europa.eu/eli/C/2025/3151/oj</w:t>
        </w:r>
      </w:hyperlink>
      <w:r w:rsidRPr="00C573C4">
        <w:rPr>
          <w:sz w:val="24"/>
          <w:lang w:val="hr-HR"/>
        </w:rPr>
        <w:t>.</w:t>
      </w:r>
    </w:p>
  </w:footnote>
  <w:footnote w:id="4">
    <w:p w:rsidR="00384966" w:rsidRPr="00C573C4" w:rsidP="00C573C4" w14:paraId="029ED196" w14:textId="13013351">
      <w:pPr>
        <w:pStyle w:val="FootnoteText"/>
        <w:ind w:left="567" w:hanging="567"/>
        <w:rPr>
          <w:sz w:val="24"/>
          <w:lang w:val="hr-HR"/>
        </w:rPr>
      </w:pPr>
      <w:r w:rsidRPr="00C573C4">
        <w:rPr>
          <w:rStyle w:val="FootnoteReference"/>
          <w:sz w:val="24"/>
          <w:lang w:val="hr-HR"/>
        </w:rPr>
        <w:footnoteRef/>
      </w:r>
      <w:r w:rsidRPr="00C573C4" w:rsidR="00C573C4">
        <w:rPr>
          <w:sz w:val="24"/>
          <w:lang w:val="hr-HR"/>
        </w:rPr>
        <w:t xml:space="preserve"> </w:t>
      </w:r>
      <w:r w:rsidRPr="00C573C4" w:rsidR="00C573C4">
        <w:rPr>
          <w:sz w:val="24"/>
          <w:lang w:val="hr-HR"/>
        </w:rPr>
        <w:tab/>
      </w:r>
      <w:r w:rsidRPr="00C573C4">
        <w:rPr>
          <w:sz w:val="24"/>
          <w:lang w:val="hr-HR"/>
        </w:rPr>
        <w:t>(C(2025)7552).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573C4" w14:paraId="7FF1798A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573C4" w14:paraId="7628823B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573C4" w14:paraId="0B08C91F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32318616">
    <w:abstractNumId w:val="9"/>
  </w:num>
  <w:num w:numId="2" w16cid:durableId="305665468">
    <w:abstractNumId w:val="9"/>
  </w:num>
  <w:num w:numId="3" w16cid:durableId="2003964559">
    <w:abstractNumId w:val="7"/>
  </w:num>
  <w:num w:numId="4" w16cid:durableId="556627225">
    <w:abstractNumId w:val="7"/>
  </w:num>
  <w:num w:numId="5" w16cid:durableId="937954332">
    <w:abstractNumId w:val="6"/>
  </w:num>
  <w:num w:numId="6" w16cid:durableId="1850480252">
    <w:abstractNumId w:val="6"/>
  </w:num>
  <w:num w:numId="7" w16cid:durableId="1232035994">
    <w:abstractNumId w:val="5"/>
  </w:num>
  <w:num w:numId="8" w16cid:durableId="2022000510">
    <w:abstractNumId w:val="5"/>
  </w:num>
  <w:num w:numId="9" w16cid:durableId="747120271">
    <w:abstractNumId w:val="4"/>
  </w:num>
  <w:num w:numId="10" w16cid:durableId="1519661425">
    <w:abstractNumId w:val="4"/>
  </w:num>
  <w:num w:numId="11" w16cid:durableId="1141381894">
    <w:abstractNumId w:val="8"/>
  </w:num>
  <w:num w:numId="12" w16cid:durableId="1814524790">
    <w:abstractNumId w:val="8"/>
  </w:num>
  <w:num w:numId="13" w16cid:durableId="260996145">
    <w:abstractNumId w:val="3"/>
  </w:num>
  <w:num w:numId="14" w16cid:durableId="1461807021">
    <w:abstractNumId w:val="3"/>
  </w:num>
  <w:num w:numId="15" w16cid:durableId="119688068">
    <w:abstractNumId w:val="2"/>
  </w:num>
  <w:num w:numId="16" w16cid:durableId="897743845">
    <w:abstractNumId w:val="2"/>
  </w:num>
  <w:num w:numId="17" w16cid:durableId="1963883514">
    <w:abstractNumId w:val="1"/>
  </w:num>
  <w:num w:numId="18" w16cid:durableId="1816296062">
    <w:abstractNumId w:val="1"/>
  </w:num>
  <w:num w:numId="19" w16cid:durableId="534076010">
    <w:abstractNumId w:val="0"/>
  </w:num>
  <w:num w:numId="20" w16cid:durableId="732654380">
    <w:abstractNumId w:val="0"/>
  </w:num>
  <w:num w:numId="21" w16cid:durableId="996154022">
    <w:abstractNumId w:val="9"/>
  </w:num>
  <w:num w:numId="22" w16cid:durableId="365837738">
    <w:abstractNumId w:val="7"/>
  </w:num>
  <w:num w:numId="23" w16cid:durableId="341594585">
    <w:abstractNumId w:val="6"/>
  </w:num>
  <w:num w:numId="24" w16cid:durableId="1469936363">
    <w:abstractNumId w:val="5"/>
  </w:num>
  <w:num w:numId="25" w16cid:durableId="1759133191">
    <w:abstractNumId w:val="4"/>
  </w:num>
  <w:num w:numId="26" w16cid:durableId="1229264380">
    <w:abstractNumId w:val="8"/>
  </w:num>
  <w:num w:numId="27" w16cid:durableId="1932205139">
    <w:abstractNumId w:val="3"/>
  </w:num>
  <w:num w:numId="28" w16cid:durableId="1459839495">
    <w:abstractNumId w:val="2"/>
  </w:num>
  <w:num w:numId="29" w16cid:durableId="1897156672">
    <w:abstractNumId w:val="1"/>
  </w:num>
  <w:num w:numId="30" w16cid:durableId="510872275">
    <w:abstractNumId w:val="0"/>
  </w:num>
  <w:num w:numId="31" w16cid:durableId="395006524">
    <w:abstractNumId w:val="9"/>
  </w:num>
  <w:num w:numId="32" w16cid:durableId="954289712">
    <w:abstractNumId w:val="7"/>
  </w:num>
  <w:num w:numId="33" w16cid:durableId="1194463146">
    <w:abstractNumId w:val="6"/>
  </w:num>
  <w:num w:numId="34" w16cid:durableId="1207178128">
    <w:abstractNumId w:val="5"/>
  </w:num>
  <w:num w:numId="35" w16cid:durableId="2046755516">
    <w:abstractNumId w:val="4"/>
  </w:num>
  <w:num w:numId="36" w16cid:durableId="507673700">
    <w:abstractNumId w:val="8"/>
  </w:num>
  <w:num w:numId="37" w16cid:durableId="845218010">
    <w:abstractNumId w:val="3"/>
  </w:num>
  <w:num w:numId="38" w16cid:durableId="913123577">
    <w:abstractNumId w:val="2"/>
  </w:num>
  <w:num w:numId="39" w16cid:durableId="1128816500">
    <w:abstractNumId w:val="1"/>
  </w:num>
  <w:num w:numId="40" w16cid:durableId="802116330">
    <w:abstractNumId w:val="0"/>
  </w:num>
  <w:num w:numId="41" w16cid:durableId="1801920829">
    <w:abstractNumId w:val="10"/>
  </w:num>
  <w:num w:numId="42" w16cid:durableId="929965290">
    <w:abstractNumId w:val="10"/>
  </w:num>
  <w:num w:numId="43" w16cid:durableId="302542875">
    <w:abstractNumId w:val="10"/>
  </w:num>
  <w:num w:numId="44" w16cid:durableId="16213746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31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1A9E"/>
    <w:rsid w:val="00384966"/>
    <w:rsid w:val="00395FA1"/>
    <w:rsid w:val="003E15D4"/>
    <w:rsid w:val="00411CCE"/>
    <w:rsid w:val="0041666E"/>
    <w:rsid w:val="00421060"/>
    <w:rsid w:val="00465BC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731D"/>
    <w:rsid w:val="00A43E52"/>
    <w:rsid w:val="00A4678D"/>
    <w:rsid w:val="00A778C7"/>
    <w:rsid w:val="00AA27DB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73C4"/>
    <w:rsid w:val="00C61C0C"/>
    <w:rsid w:val="00C941CB"/>
    <w:rsid w:val="00CC2357"/>
    <w:rsid w:val="00CD5D2A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304/2026"/>
    <w:docVar w:name="dvlangue" w:val="HR"/>
    <w:docVar w:name="dvnumam" w:val="0"/>
    <w:docVar w:name="dvpe" w:val="783.361"/>
    <w:docVar w:name="dvtitre" w:val="Rezolucija Europskog parlamenta od .... 2026. o neprihvatljivim provokativnim djelovanjima Rusije i upadima bespilotnih letjelica u Rumunjsku, baltičke države i Finsku(2026/2772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BFA6352"/>
  <w15:chartTrackingRefBased/>
  <w15:docId w15:val="{ED8CDEFE-B260-40B2-9000-48CE27EAA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384966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384966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384966"/>
    <w:rPr>
      <w:sz w:val="24"/>
      <w:lang w:val="hr-HR"/>
    </w:rPr>
  </w:style>
  <w:style w:type="character" w:customStyle="1" w:styleId="normaltextrun">
    <w:name w:val="normaltextrun"/>
    <w:basedOn w:val="DefaultParagraphFont"/>
    <w:rsid w:val="00384966"/>
  </w:style>
  <w:style w:type="character" w:styleId="Hyperlink">
    <w:name w:val="Hyperlink"/>
    <w:basedOn w:val="DefaultParagraphFont"/>
    <w:rsid w:val="0038496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CD5D2A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AA27DB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6/1530/oj" TargetMode="External" /><Relationship Id="rId2" Type="http://schemas.openxmlformats.org/officeDocument/2006/relationships/hyperlink" Target="http://data.europa.eu/eli/C/2025/3151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2844</Words>
  <Characters>17726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2026-06-18T12:49:00Z</dcterms:created>
  <dcterms:modified xsi:type="dcterms:W3CDTF">2026-06-18T12:49:00Z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B10-0304/2026</vt:lpwstr>
  </property>
  <property fmtid="{D5CDD505-2E9C-101B-9397-08002B2CF9AE}" pid="4" name="&lt;Type&gt;">
    <vt:lpwstr>RR</vt:lpwstr>
  </property>
</Properties>
</file>