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BFDAD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6A2F" w:rsidP="0010095E" w14:paraId="54535388" w14:textId="77777777">
            <w:pPr>
              <w:pStyle w:val="EPName"/>
            </w:pPr>
            <w:r w:rsidRPr="00726A2F">
              <w:t>Parlament Europejski</w:t>
            </w:r>
          </w:p>
          <w:p w:rsidR="00751A4A" w:rsidRPr="00726A2F" w:rsidP="005F1B17" w14:paraId="1BB8730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6A2F">
              <w:t>2024</w:t>
            </w:r>
            <w:r w:rsidRPr="00726A2F" w:rsidR="00817416">
              <w:t>-202</w:t>
            </w:r>
            <w:r w:rsidRPr="00726A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6A2F" w:rsidP="0010095E" w14:paraId="0E21BF98" w14:textId="77777777">
            <w:pPr>
              <w:pStyle w:val="EPLogo"/>
            </w:pPr>
            <w:r w:rsidRPr="00726A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6A2F" w:rsidP="004C5D52" w14:paraId="3E3B8C40" w14:textId="77777777">
      <w:pPr>
        <w:pStyle w:val="LineTop"/>
      </w:pPr>
    </w:p>
    <w:p w:rsidR="00680577" w:rsidRPr="00726A2F" w:rsidP="00680577" w14:paraId="0D804FCA" w14:textId="77777777">
      <w:pPr>
        <w:pStyle w:val="EPBodyTA1"/>
      </w:pPr>
      <w:r w:rsidRPr="00726A2F">
        <w:t>TEKSTY PRZYJĘTE</w:t>
      </w:r>
    </w:p>
    <w:p w:rsidR="00D058B8" w:rsidRPr="00726A2F" w:rsidP="00D058B8" w14:paraId="0E81B860" w14:textId="77777777">
      <w:pPr>
        <w:pStyle w:val="LineBottom"/>
      </w:pPr>
    </w:p>
    <w:p w:rsidR="00B466F4" w:rsidRPr="00726A2F" w:rsidP="00B466F4" w14:paraId="218AF300" w14:textId="14972685">
      <w:pPr>
        <w:pStyle w:val="ATHeading1"/>
      </w:pPr>
      <w:bookmarkStart w:id="0" w:name="TANumber"/>
      <w:r w:rsidRPr="00726A2F">
        <w:t>P10_</w:t>
      </w:r>
      <w:r w:rsidRPr="00726A2F">
        <w:t>TA(</w:t>
      </w:r>
      <w:r w:rsidRPr="00726A2F">
        <w:t>2026)0</w:t>
      </w:r>
      <w:bookmarkEnd w:id="0"/>
      <w:r w:rsidR="00923D22">
        <w:t>231</w:t>
      </w:r>
    </w:p>
    <w:p w:rsidR="00B466F4" w:rsidRPr="00726A2F" w:rsidP="00DD0618" w14:paraId="6A98FC59" w14:textId="7C815CF9">
      <w:pPr>
        <w:pStyle w:val="ATHeading2"/>
      </w:pPr>
      <w:r w:rsidRPr="00DD0618">
        <w:rPr>
          <w:bCs/>
        </w:rPr>
        <w:t>Niedopuszczalne rosyjskie prowokacje i wtargnięcie dronów do Rumunii, państw bałtyckich i</w:t>
      </w:r>
      <w:r>
        <w:rPr>
          <w:bCs/>
        </w:rPr>
        <w:t xml:space="preserve"> </w:t>
      </w:r>
      <w:r w:rsidRPr="00DD0618">
        <w:rPr>
          <w:bCs/>
        </w:rPr>
        <w:t>Finlandii</w:t>
      </w:r>
    </w:p>
    <w:p w:rsidR="00B466F4" w:rsidRPr="00726A2F" w:rsidP="00B466F4" w14:paraId="0A15C8C3" w14:textId="375C8CFC">
      <w:pPr>
        <w:rPr>
          <w:i/>
          <w:vanish/>
        </w:rPr>
      </w:pPr>
      <w:r>
        <w:rPr>
          <w:i/>
        </w:rPr>
        <w:fldChar w:fldCharType="begin"/>
      </w:r>
      <w:r w:rsidRPr="00726A2F">
        <w:rPr>
          <w:i/>
        </w:rPr>
        <w:instrText xml:space="preserve"> TC"(</w:instrText>
      </w:r>
      <w:bookmarkStart w:id="1" w:name="DocNumber"/>
      <w:r w:rsidRPr="00726A2F">
        <w:rPr>
          <w:i/>
        </w:rPr>
        <w:instrText>B10-0304</w:instrText>
      </w:r>
      <w:r w:rsidR="00DD0618">
        <w:rPr>
          <w:i/>
        </w:rPr>
        <w:instrText>, 0307, 0308, 0309 oraz 0311</w:instrText>
      </w:r>
      <w:r w:rsidRPr="00726A2F">
        <w:rPr>
          <w:i/>
        </w:rPr>
        <w:instrText>/2026</w:instrText>
      </w:r>
      <w:bookmarkEnd w:id="1"/>
      <w:r w:rsidRPr="00726A2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466F4" w:rsidRPr="00726A2F" w:rsidP="00B466F4" w14:paraId="00C39FEF" w14:textId="77777777">
      <w:pPr>
        <w:rPr>
          <w:vanish/>
        </w:rPr>
      </w:pPr>
      <w:bookmarkStart w:id="2" w:name="PE"/>
      <w:r w:rsidRPr="00726A2F">
        <w:rPr>
          <w:vanish/>
        </w:rPr>
        <w:t>PE783.361</w:t>
      </w:r>
      <w:bookmarkEnd w:id="2"/>
    </w:p>
    <w:p w:rsidR="00B466F4" w:rsidRPr="00726A2F" w:rsidP="00DD0618" w14:paraId="55F4EA86" w14:textId="02B58D56">
      <w:pPr>
        <w:pStyle w:val="ATHeading3"/>
      </w:pPr>
      <w:bookmarkStart w:id="3" w:name="Sujet"/>
      <w:r w:rsidRPr="00726A2F">
        <w:t xml:space="preserve">Rezolucja Parlamentu Europejskiego z dnia </w:t>
      </w:r>
      <w:r w:rsidR="00DD0618">
        <w:t>18 czerwca</w:t>
      </w:r>
      <w:r w:rsidRPr="00726A2F">
        <w:t xml:space="preserve"> 2026 r. w sprawie niedopuszczalnych rosyjskich prowokacji i wtargnięcia dronów do Rumunii, państw bałtyckich i Finlandii</w:t>
      </w:r>
      <w:bookmarkEnd w:id="3"/>
      <w:r w:rsidRPr="00726A2F">
        <w:t xml:space="preserve"> </w:t>
      </w:r>
      <w:bookmarkStart w:id="4" w:name="References"/>
      <w:r w:rsidRPr="00726A2F">
        <w:t>(2026/2772(RSP))</w:t>
      </w:r>
      <w:bookmarkEnd w:id="4"/>
    </w:p>
    <w:p w:rsidR="00413DE0" w:rsidRPr="00726A2F" w:rsidP="00413DE0" w14:paraId="12579B0E" w14:textId="77777777">
      <w:pPr>
        <w:pStyle w:val="EPComma"/>
      </w:pPr>
      <w:bookmarkStart w:id="5" w:name="TextBodyBegin"/>
      <w:bookmarkEnd w:id="5"/>
      <w:r w:rsidRPr="00726A2F">
        <w:rPr>
          <w:i/>
          <w:iCs/>
        </w:rPr>
        <w:t>Parlament Europejski</w:t>
      </w:r>
      <w:r w:rsidRPr="00726A2F">
        <w:t>,</w:t>
      </w:r>
    </w:p>
    <w:p w:rsidR="00413DE0" w:rsidRPr="00726A2F" w:rsidP="00413DE0" w14:paraId="45E42C92" w14:textId="77777777">
      <w:pPr>
        <w:pStyle w:val="NormalHanging12a"/>
      </w:pPr>
      <w:r w:rsidRPr="00726A2F">
        <w:t>–</w:t>
      </w:r>
      <w:r w:rsidRPr="00726A2F">
        <w:tab/>
        <w:t>uwzględniając swoje wcześniejsze rezolucje w sprawie Rosji i Ukrainy, zwłaszcza rezolucję z 9 października 2025 r. w sprawie wspólnej reakcji na niedawne przypadki naruszenia przez Rosję przestrzeni powietrznej państw członkowskich UE i na zagrożenia dla ich infrastruktury krytycznej</w:t>
      </w:r>
      <w:r>
        <w:rPr>
          <w:rStyle w:val="FootnoteReference"/>
        </w:rPr>
        <w:footnoteReference w:id="2"/>
      </w:r>
      <w:r w:rsidRPr="00726A2F">
        <w:t>,</w:t>
      </w:r>
    </w:p>
    <w:p w:rsidR="00413DE0" w:rsidRPr="00726A2F" w:rsidP="00413DE0" w14:paraId="5D8EB7A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>uwzględniając Kartę Narodów Zjednoczonych i podstawowe zasady prawa międzynarodowego,</w:t>
      </w:r>
    </w:p>
    <w:p w:rsidR="00413DE0" w:rsidRPr="00726A2F" w:rsidP="00413DE0" w14:paraId="4727661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>uwzględniając Traktat o Unii Europejskiej (TUE), a w szczególności jego art. 24 ust. 3, art. 42 ust. 7 i art. 222,</w:t>
      </w:r>
    </w:p>
    <w:p w:rsidR="00413DE0" w:rsidRPr="00726A2F" w:rsidP="00413DE0" w14:paraId="4D85637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>uwzględniając Traktat Północnoatlantycki z 4 kwietnia 1949 r., a w szczególności jego art. 4 i 5,</w:t>
      </w:r>
    </w:p>
    <w:p w:rsidR="00413DE0" w:rsidRPr="00726A2F" w:rsidP="00413DE0" w14:paraId="1144B807" w14:textId="77777777">
      <w:pPr>
        <w:pStyle w:val="NormalHanging12a"/>
      </w:pPr>
      <w:r w:rsidRPr="00726A2F">
        <w:t>–</w:t>
      </w:r>
      <w:r w:rsidRPr="00726A2F">
        <w:tab/>
        <w:t>uwzględniając wspólny komunikat Komisji i wysokiej przedstawiciel Unii do spraw zagranicznych i polityki bezpieczeństwa z 19 marca 2025 r. pt. „Wspólna biała księga w sprawie obronności europejskiej – Gotowość 2030” (</w:t>
      </w:r>
      <w:r w:rsidRPr="00726A2F">
        <w:t>JOIN(</w:t>
      </w:r>
      <w:r w:rsidRPr="00726A2F">
        <w:t>2025)0120) oraz swoją rezolucję z 12 marca 2025 r. w tej sprawie</w:t>
      </w:r>
      <w:r>
        <w:rPr>
          <w:rStyle w:val="FootnoteReference"/>
        </w:rPr>
        <w:footnoteReference w:id="3"/>
      </w:r>
      <w:r w:rsidRPr="00726A2F">
        <w:t>,</w:t>
      </w:r>
    </w:p>
    <w:p w:rsidR="00413DE0" w:rsidRPr="00726A2F" w:rsidP="00413DE0" w14:paraId="14548D1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>uwzględniając wspólny komunikat Komisji i wysokiej przedstawiciel Unii do spraw zagranicznych i polityki bezpieczeństwa z 16 października 2025 r. pt. „Utrzymanie pokoju – plan działania na rzecz gotowości obronnej do 2030 r.” (</w:t>
      </w:r>
      <w:r w:rsidRPr="00726A2F">
        <w:t>JOIN(</w:t>
      </w:r>
      <w:r w:rsidRPr="00726A2F">
        <w:t>2025)0027),</w:t>
      </w:r>
    </w:p>
    <w:p w:rsidR="00413DE0" w:rsidRPr="00726A2F" w:rsidP="00413DE0" w14:paraId="0AB51C6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>uwzględniając konkluzje Rady Europejskiej z 19 marca 2026 r. w sprawie nieprzerwanego wsparcia UE dla Ukrainy,</w:t>
      </w:r>
    </w:p>
    <w:p w:rsidR="00413DE0" w:rsidRPr="00726A2F" w:rsidP="00413DE0" w14:paraId="610E35C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 xml:space="preserve">uwzględniając oświadczenia przewodniczącej Komisji Ursuli von der </w:t>
      </w:r>
      <w:r w:rsidRPr="00726A2F">
        <w:t>Leyen</w:t>
      </w:r>
      <w:r w:rsidRPr="00726A2F">
        <w:t xml:space="preserve"> z 20 maja 2026 r. w sprawie rosyjskich gróźb wobec państw bałtyckich,</w:t>
      </w:r>
    </w:p>
    <w:p w:rsidR="00413DE0" w:rsidRPr="00726A2F" w:rsidP="00413DE0" w14:paraId="79315E1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–</w:t>
      </w:r>
      <w:r w:rsidRPr="00726A2F">
        <w:tab/>
        <w:t xml:space="preserve">uwzględniając oświadczenie wiceprzewodniczącej Komisji / wysokiej przedstawiciel Unii do spraw zagranicznych i polityki bezpieczeństwa Kai </w:t>
      </w:r>
      <w:r w:rsidRPr="00726A2F">
        <w:t>Kallas</w:t>
      </w:r>
      <w:r w:rsidRPr="00726A2F">
        <w:t xml:space="preserve"> z 29 maja 2026 r. potępiające zuchwałe naruszenie unijnej przestrzeni powietrznej przez Rosję,</w:t>
      </w:r>
    </w:p>
    <w:p w:rsidR="00413DE0" w:rsidRPr="00726A2F" w:rsidP="00413DE0" w14:paraId="75F399E7" w14:textId="77777777">
      <w:pPr>
        <w:pStyle w:val="NormalHanging12a"/>
      </w:pPr>
      <w:r w:rsidRPr="00726A2F">
        <w:t>–</w:t>
      </w:r>
      <w:r w:rsidRPr="00726A2F">
        <w:tab/>
        <w:t>uwzględniając art. 136 ust. 2 i 4 Regulaminu,</w:t>
      </w:r>
    </w:p>
    <w:p w:rsidR="00413DE0" w:rsidRPr="00726A2F" w:rsidP="00413DE0" w14:paraId="1D64355F" w14:textId="77777777">
      <w:pPr>
        <w:pStyle w:val="NormalHanging12a"/>
      </w:pPr>
      <w:r w:rsidRPr="00726A2F">
        <w:t>A.</w:t>
      </w:r>
      <w:r w:rsidRPr="00726A2F">
        <w:tab/>
        <w:t xml:space="preserve">mając na uwadze, że ponad cztery lata temu Rosja rozpoczęła bezprawną, niesprowokowaną i nieuzasadnioną </w:t>
      </w:r>
      <w:r w:rsidRPr="00726A2F">
        <w:t>pełnoskalową</w:t>
      </w:r>
      <w:r w:rsidRPr="00726A2F">
        <w:t xml:space="preserve"> wojnę napastniczą przeciwko Ukrainie, będącą kontynuacją działań zapoczątkowanych w 2014 r. aneksją Krymu i okupacją części obwodu donieckiego, rażąco łamiąc w ten sposób prawo międzynarodowe i naruszając suwerenność terytorialną Ukrainy; mając na uwadze, że naruszenia przestrzeni powietrznej UE i NATO przez Rosję mają miejsce od początku </w:t>
      </w:r>
      <w:r w:rsidRPr="00726A2F">
        <w:t>pełnoskalowej</w:t>
      </w:r>
      <w:r w:rsidRPr="00726A2F">
        <w:t xml:space="preserve"> inwazji Rosji na Ukrainę, ale ostatnio ich częstotliwość i intensywność wzrosła;</w:t>
      </w:r>
    </w:p>
    <w:p w:rsidR="00413DE0" w:rsidRPr="00726A2F" w:rsidP="00413DE0" w14:paraId="28603A2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B.</w:t>
      </w:r>
      <w:r w:rsidRPr="00726A2F">
        <w:tab/>
        <w:t>mając na uwadze, że trwa grupowanie rosyjskich sił wojskowych wzdłuż wschodniej flanki UE, w tym na terytorium Białorusi, która współuczestniczy w rosyjskiej wojnie napastniczej przeciwko Ukrainie i w atakach hybrydowych na UE, zwłaszcza poprzez instrumentalizowanie nieuregulowanej migracji, dezinformację i wypuszczanie balonów meteorologicznych, które stwarzają poważne zagrożenie dla bezpieczeństwa, w tym ciągle zakłócają ruch lotniczy, terroryzują ludność krajów graniczących z Białorusią, takich jak Łotwa, Litwa i Polska, oraz szkodzą lokalnym gospodarkom;</w:t>
      </w:r>
    </w:p>
    <w:p w:rsidR="00413DE0" w:rsidRPr="00726A2F" w:rsidP="00413DE0" w14:paraId="0EA2DBCF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C.</w:t>
      </w:r>
      <w:r w:rsidRPr="00726A2F">
        <w:tab/>
        <w:t>mając na uwadze, że Estonia, Finlandia, Łotwa, Litwa, Rumunia i inne państwa członkowskie UE padają ofiarą prób destabilizacji przez Rosję, co przybiera postać wtargnięć dronów i naruszeń przestrzeni powietrznej, propagandy i dezinformacji, walki radioelektronicznej, zakłócania globalnego systemu nawigacji satelitarnej, cyberataków i sabotażu;</w:t>
      </w:r>
    </w:p>
    <w:p w:rsidR="00413DE0" w:rsidRPr="00726A2F" w:rsidP="00413DE0" w14:paraId="18D7432F" w14:textId="77777777">
      <w:pPr>
        <w:pStyle w:val="NormalHanging12a"/>
      </w:pPr>
      <w:r w:rsidRPr="00726A2F">
        <w:t>D.</w:t>
      </w:r>
      <w:r w:rsidRPr="00726A2F">
        <w:tab/>
        <w:t>mając na uwadze, że 29 maja 2026 r. rosyjski dron uderzył w budynek mieszkalny w Gałaczu w Rumunii, powodując wybuch, w wyniku którego dwie osoby zostały ranne; mając na uwadze, że był to pierwszy tego rodzaju incydent na terytorium państwa członkowskiego UE i NATO, który spowodował obrażenia wymagające opieki medycznej; mając na uwadze, że ponad 70 osób musiało zostać ewakuowanych;</w:t>
      </w:r>
    </w:p>
    <w:p w:rsidR="00413DE0" w:rsidRPr="00726A2F" w:rsidP="00413DE0" w14:paraId="15391148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E.</w:t>
      </w:r>
      <w:r w:rsidRPr="00726A2F">
        <w:tab/>
        <w:t xml:space="preserve">mając na uwadze, że 19 maja 2026 r. rumuński myśliwiec uczestniczący w natowskiej misji kontroli przestrzeni powietrznej nad Bałtykiem zestrzelił wrogi dron znajdujący się w estońskiej przestrzeni powietrznej; mając na uwadze, że 20 maja 2026 r. wtargnięcie niezidentyfikowanego </w:t>
      </w:r>
      <w:r w:rsidRPr="00726A2F">
        <w:t>drona</w:t>
      </w:r>
      <w:r w:rsidRPr="00726A2F">
        <w:t xml:space="preserve"> do litewskiej przestrzeni powietrznej zmusiło władze do wystosowania bezprecedensowego alarmu o nalotach, co zmusiło ludność cywilną do poszukiwania schronienia; mając na uwadze, że 8 czerwca 2026 r. francuskie myśliwce uczestniczące w misji NATO zestrzeliły drony znajdujące się nad Łotwą; mając na uwadze, że takie wtargnięcia dronów to bezpośredni skutek rosyjskiej napaści na Ukrainę, a większość z nich narusza przestrzeń powietrzną UE w ramach prowadzonej przez Rosję walki radioelektronicznej; mając na uwadze, że w marcu 2026 r. ze względu na zakłócenia ze strony rosyjskich systemów walki radioelektronicznej co najmniej trzy ukraińskie drony zostały przekierowane z planowanego kursu, wleciały na terytorium Finlandii i tam się rozbiły;</w:t>
      </w:r>
    </w:p>
    <w:p w:rsidR="00413DE0" w:rsidRPr="00726A2F" w:rsidP="00413DE0" w14:paraId="4958BB4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F.</w:t>
      </w:r>
      <w:r w:rsidRPr="00726A2F">
        <w:tab/>
        <w:t>mając na uwadze, że 29 maja 2026 r. w rumuńskim porcie Konstanca w ramach prowadzonej przez Federację Rosyjską walki radioelektronicznej wybuchł ukraiński dron morski, wywołując szkody materialne, ale bez ofiar w ludziach;</w:t>
      </w:r>
    </w:p>
    <w:p w:rsidR="00413DE0" w:rsidRPr="00726A2F" w:rsidP="00413DE0" w14:paraId="6C14FDD0" w14:textId="2723A558">
      <w:pPr>
        <w:pStyle w:val="NormalHanging12a"/>
        <w:rPr>
          <w:spacing w:val="-2"/>
        </w:rPr>
      </w:pPr>
      <w:r w:rsidRPr="00726A2F">
        <w:t>G.</w:t>
      </w:r>
      <w:r w:rsidRPr="00726A2F">
        <w:tab/>
        <w:t xml:space="preserve">mając na uwadze, że 7 maja 2026 r. dwa ukraińskie drony, zagłuszone przez rosyjskie systemy walki radioelektronicznej, uderzyły w magazyn paliwa w </w:t>
      </w:r>
      <w:r w:rsidRPr="00726A2F">
        <w:t>Rzeżycy</w:t>
      </w:r>
      <w:r w:rsidRPr="00726A2F">
        <w:t xml:space="preserve"> na Łotwie; </w:t>
      </w:r>
    </w:p>
    <w:p w:rsidR="00413DE0" w:rsidRPr="00726A2F" w:rsidP="00413DE0" w14:paraId="7C59F3C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H.</w:t>
      </w:r>
      <w:r w:rsidRPr="00726A2F">
        <w:tab/>
        <w:t>mając na uwadze, że w regionie Morza Bałtyckiego skoncentrowanych jest wiele elementów infrastruktury krytycznej, w tym podmorskie sieci energetyczne i telekomunikacyjne, połączenia transportowe i inne aktywa strategiczne, co sprawia, że region ten jest szczególnie narażony na ataki hybrydowe, sabotaż i zagrożenia związane z dronami; mając na uwadze, że ochrona infrastruktury krytycznej wymaga zarówno wzmocnienia fizycznego, jak i zwiększenia redundancji oraz decentralizacji, co pokazują wnioski wyciągnięte z rosyjskich ataków na infrastrukturę ukraińską;</w:t>
      </w:r>
    </w:p>
    <w:p w:rsidR="00413DE0" w:rsidRPr="00726A2F" w:rsidP="00413DE0" w14:paraId="21EAADDB" w14:textId="77777777">
      <w:pPr>
        <w:pStyle w:val="NormalHanging12a"/>
      </w:pPr>
      <w:r w:rsidRPr="00726A2F">
        <w:t>I.</w:t>
      </w:r>
      <w:r w:rsidRPr="00726A2F">
        <w:tab/>
      </w:r>
      <w:r w:rsidRPr="00726A2F">
        <w:rPr>
          <w:rStyle w:val="normaltextrun"/>
          <w:color w:val="000000"/>
        </w:rPr>
        <w:t>mając na uwadze, że likwidacja elektrowni jądrowej Ignalina na Litwie stanowi poważne zagrożenie dla bezpieczeństwa regionalnego i środowiska ze względu na obecność dużych ilości wypalonego paliwa jądrowego i odpadów promieniotwórczych przechowywanych w tymczasowych obiektach naziemnych, a także mając na uwadze, że wszelkie wypadki lub celowe prowokacje dotyczące tej infrastruktury krytycznej mogą mieć poważne konsekwencje dla całego regionu Morza Bałtyckiego i nie tylko</w:t>
      </w:r>
      <w:r w:rsidRPr="00726A2F">
        <w:t>;</w:t>
      </w:r>
    </w:p>
    <w:p w:rsidR="00413DE0" w:rsidRPr="00726A2F" w:rsidP="00413DE0" w14:paraId="431C6ED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J.</w:t>
      </w:r>
      <w:r w:rsidRPr="00726A2F">
        <w:tab/>
        <w:t>mając na uwadze, że miały miejsce inne poważne incydenty związane z naruszeniem przestrzeni powietrznej państw członkowskich UE, prawdopodobnie spowodowane przez Rosję;</w:t>
      </w:r>
    </w:p>
    <w:p w:rsidR="00413DE0" w:rsidRPr="00726A2F" w:rsidP="00413DE0" w14:paraId="34D433F9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K.</w:t>
      </w:r>
      <w:r w:rsidRPr="00726A2F">
        <w:tab/>
        <w:t>mając na uwadze, że bezpieczeństwo i ochrona państw członkowskich UE wzdłuż jej wschodniej flanki jest bezpośrednim priorytetem i wspólną odpowiedzialnością Europy, tym bardziej że ataki hybrydowe są przeprowadzane z wykorzystaniem dronów do działań wojennych, a w tej dziedzinie państwom członkowskim dotkliwie brakuje odpowiedniego potencjału;</w:t>
      </w:r>
    </w:p>
    <w:p w:rsidR="00413DE0" w:rsidRPr="00726A2F" w:rsidP="00413DE0" w14:paraId="4BDAAE7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L.</w:t>
      </w:r>
      <w:r w:rsidRPr="00726A2F">
        <w:tab/>
        <w:t>mając na uwadze, że incydenty z użyciem dronów na wschodniej flance UE ujawniły spore braki w gotowości zarówno wojskowej, jak i cywilnej; mając na uwadze, że dotychczasowe systemy radarowe często okazują się niezdolne do śledzenia obiektów na niskiej wysokości, metody wybierane do przechwytywania bezzałogowych statków powietrznych są nieefektywne ekonomicznie, a doniesienia o incydentach ujawniły, że niektóre schrony przeciwlotnicze były zamknięte lub niedostępne; mając na uwadze, że takie uchybienia świadczą o wymagającej pilnej interwencji podatności systemowej w procedurach ostrzegania i reagowania oraz o szerszym braku odporności społecznej;</w:t>
      </w:r>
    </w:p>
    <w:p w:rsidR="00413DE0" w:rsidRPr="00726A2F" w:rsidP="00413DE0" w14:paraId="1F634733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726A2F">
        <w:rPr>
          <w:rStyle w:val="normaltextrun"/>
          <w:color w:val="000000"/>
        </w:rPr>
        <w:t>M.</w:t>
      </w:r>
      <w:r w:rsidRPr="00726A2F">
        <w:rPr>
          <w:rStyle w:val="normaltextrun"/>
          <w:color w:val="000000"/>
        </w:rPr>
        <w:tab/>
        <w:t>mając na uwadze, że podczas ostatnich ataków na Ukrainę Rosja spowodowała pożar</w:t>
      </w:r>
      <w:r w:rsidRPr="00726A2F">
        <w:t xml:space="preserve"> Ławry </w:t>
      </w:r>
      <w:r w:rsidRPr="00726A2F">
        <w:t>Peczerskiej</w:t>
      </w:r>
      <w:r w:rsidRPr="00726A2F">
        <w:t xml:space="preserve"> w Kijowie, historycznego klasztoru </w:t>
      </w:r>
      <w:r w:rsidRPr="00726A2F">
        <w:t>wschodniochrześcijańskiego</w:t>
      </w:r>
      <w:r w:rsidRPr="00726A2F">
        <w:t xml:space="preserve"> i obiektu światowego dziedzictwa UNESCO, a także innych bezcennych obiektów dziedzictwa kulturowego;</w:t>
      </w:r>
    </w:p>
    <w:p w:rsidR="00413DE0" w:rsidRPr="00726A2F" w:rsidP="00413DE0" w14:paraId="3EAF25B3" w14:textId="77777777">
      <w:pPr>
        <w:pStyle w:val="NormalHanging12a"/>
      </w:pPr>
      <w:r w:rsidRPr="00726A2F">
        <w:t>N.</w:t>
      </w:r>
      <w:r w:rsidRPr="00726A2F">
        <w:tab/>
        <w:t xml:space="preserve">mając na uwadze, że niedawne incydenty z udziałem dronów świadczą o pilnej konieczności przygotowania wielowymiarowej zdolności obronnej łączącej kinetyczne i niekinetyczne systemy przeciwdziałania bezzałogowym statkom powietrznym; mając na uwadze, że drony to nieodłączny element współczesnych działań wojennych i konfliktów hybrydowych, a ich wykorzystanie w Ukrainie zasadniczo zmieniło wymogi </w:t>
      </w:r>
      <w:r w:rsidRPr="00726A2F">
        <w:t>obronne i doktryny operacyjne na całym kontynencie;</w:t>
      </w:r>
    </w:p>
    <w:p w:rsidR="00413DE0" w:rsidRPr="00726A2F" w:rsidP="00413DE0" w14:paraId="60462A61" w14:textId="77777777">
      <w:pPr>
        <w:pStyle w:val="NormalHanging12a"/>
      </w:pPr>
      <w:r w:rsidRPr="00726A2F">
        <w:t>O.</w:t>
      </w:r>
      <w:r w:rsidRPr="00726A2F">
        <w:tab/>
        <w:t>mając na uwadze, że Arktyka i Daleka Północ nabierają coraz większego znaczenia dla bezpieczeństwa Europy, a ograniczony zasięg czujników i niewielka stała obecność stwarzają podatność, którą wrogie podmioty mogą próbować wykorzystać za pomocą systemów bezzałogowych i operacji hybrydowych, co zwiększa ryzyko wrogich wtargnięć dronów w głąb terytorium UE;</w:t>
      </w:r>
    </w:p>
    <w:p w:rsidR="00413DE0" w:rsidRPr="00726A2F" w:rsidP="00413DE0" w14:paraId="7ED4A9B8" w14:textId="77777777">
      <w:pPr>
        <w:pStyle w:val="NormalHanging12a"/>
      </w:pPr>
      <w:r w:rsidRPr="00726A2F">
        <w:t>1.</w:t>
      </w:r>
      <w:r w:rsidRPr="00726A2F">
        <w:tab/>
        <w:t>zdecydowanie potępia niedopuszczalne rosyjskie prowokacje i wtargnięcia dronów w przestrzeń powietrzną państw członkowskich UE;</w:t>
      </w:r>
    </w:p>
    <w:p w:rsidR="00413DE0" w:rsidRPr="00726A2F" w:rsidP="00413DE0" w14:paraId="3F7FF9E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2.</w:t>
      </w:r>
      <w:r w:rsidRPr="00726A2F">
        <w:tab/>
        <w:t>potwierdza pełną solidarność z Estonią, Finlandią, Łotwą, Litwą i Rumunią, których terytorium, przestrzeń powietrzna i infrastruktura krytyczna były celem rosyjskich prowokacji w ramach wojny hybrydowej; potwierdza, że UE nie da się zastraszyć rosyjskiej kampanii destabilizacji oraz pozostanie zjednoczona i zdeterminowana bronić bezpieczeństwa, suwerenności i integralności terytorialnej wszystkich państw członkowskich UE oraz dalej wspierać Ukrainę;</w:t>
      </w:r>
    </w:p>
    <w:p w:rsidR="00413DE0" w:rsidRPr="00726A2F" w:rsidP="00413DE0" w14:paraId="2BA392CD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726A2F">
        <w:rPr>
          <w:rStyle w:val="normaltextrun"/>
          <w:color w:val="000000"/>
        </w:rPr>
        <w:t>3.</w:t>
      </w:r>
      <w:r w:rsidRPr="00726A2F">
        <w:rPr>
          <w:rStyle w:val="normaltextrun"/>
          <w:color w:val="000000"/>
        </w:rPr>
        <w:tab/>
        <w:t>dostrzega szczególnie trudną sytuację obywateli w regionach przygranicznych UE wzdłuż wschodniej flanki, ponieważ to właśnie oni są najbardziej narażeni na poważne zagrożenia i ponoszą w związku z tym znaczne koszty gospodarcze i społeczne; wzywa do podjęcia ukierunkowanych działań na szczeblu UE, w tym do zapewnienia specjalnego wsparcia finansowego, aby wzmocnić ochronę zagrożonych społeczności i infrastruktury krytycznej, zapewnić działania prewencyjne i działania w zakresie gotowości, odporności, reagowania kryzysowego i odbudowy w tych szczególnie narażonych regionach;</w:t>
      </w:r>
    </w:p>
    <w:p w:rsidR="00413DE0" w:rsidRPr="00726A2F" w:rsidP="00413DE0" w14:paraId="3D43819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4.</w:t>
      </w:r>
      <w:r w:rsidRPr="00726A2F">
        <w:tab/>
        <w:t xml:space="preserve">jednoznacznie potępia atak rosyjskiego </w:t>
      </w:r>
      <w:r w:rsidRPr="00726A2F">
        <w:t>drona</w:t>
      </w:r>
      <w:r w:rsidRPr="00726A2F">
        <w:t xml:space="preserve"> na budynek mieszkalny w Gałaczu w Rumunii, który spowodował bezpośrednie ofiary wśród ludności cywilnej, co stanowi groźną i poważną eskalację sytuacji; uważa, że powtarzające się wtargnięcia dronów i naruszenia przestrzeni powietrznej w państwach UE nie są odosobnionymi incydentami, lecz integralnym elementem szerszej strategii zastraszania, którą Rosja stosuje przeciwko UE i jej sojusznikom;</w:t>
      </w:r>
    </w:p>
    <w:p w:rsidR="00413DE0" w:rsidRPr="00726A2F" w:rsidP="00413DE0" w14:paraId="61CE48E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5.</w:t>
      </w:r>
      <w:r w:rsidRPr="00726A2F">
        <w:tab/>
      </w:r>
      <w:r w:rsidRPr="00726A2F">
        <w:rPr>
          <w:rStyle w:val="normaltextrun"/>
          <w:color w:val="000000"/>
        </w:rPr>
        <w:t xml:space="preserve">oświadcza, że Rosja ponosi pełną i jednoznaczną odpowiedzialność za te lekkomyślne eskalacyjne ataki, które zagrażają życiu; ponownie podkreśla, że działania Federacji Rosyjskiej stanowią celowe, systematyczne i ciągłe zagrożenie dla bezpieczeństwa, odporności i suwerenności UE oraz jej państw członkowskich; </w:t>
      </w:r>
      <w:r w:rsidRPr="00726A2F">
        <w:t xml:space="preserve">ponownie w najostrzejszych możliwych słowach potępia bezprawną, niesprowokowaną i nieuzasadnioną wojnę napastniczą Rosji przeciwko Ukrainie, a także udział w niej Białorusi; zdecydowanie potępia decyzję Rosji o kontynuowaniu wojny napastniczej, w tym ostatnie ukierunkowane ataki na obiekty dziedzictwa kulturowego i obiekt światowego dziedzictwa UNESCO – Ławrę </w:t>
      </w:r>
      <w:r w:rsidRPr="00726A2F">
        <w:t>Peczerską</w:t>
      </w:r>
      <w:r w:rsidRPr="00726A2F">
        <w:t xml:space="preserve"> w Kijowie, a jednocześnie odmawia jakichkolwiek bezpośrednich negocjacji z Ukrainą, co niedawno zaproponował prezydent Ukrainy </w:t>
      </w:r>
      <w:r w:rsidRPr="00726A2F">
        <w:t>Wołodymyr</w:t>
      </w:r>
      <w:r w:rsidRPr="00726A2F">
        <w:t xml:space="preserve"> </w:t>
      </w:r>
      <w:r w:rsidRPr="00726A2F">
        <w:t>Zełenski</w:t>
      </w:r>
      <w:r w:rsidRPr="00726A2F">
        <w:t>;</w:t>
      </w:r>
    </w:p>
    <w:p w:rsidR="00413DE0" w:rsidRPr="00726A2F" w:rsidP="00413DE0" w14:paraId="41CFACB8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6.</w:t>
      </w:r>
      <w:r w:rsidRPr="00726A2F">
        <w:tab/>
        <w:t>ponownie potępia celowe zagłuszanie przez Rosję sygnałów GNSS w regionach Morza Bałtyckiego i Morza Czarnego, a także celowe wysyłanie przez Białoruś balonów meteorologicznych, co stanowi poważne zagrożenie dla bezpieczeństwa lotnictwa cywilnego i transportu morskiego; potępia ponadto Białoruś za ataki hybrydowe na UE;</w:t>
      </w:r>
    </w:p>
    <w:p w:rsidR="00413DE0" w:rsidRPr="00726A2F" w:rsidP="00413DE0" w14:paraId="5721F0C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7.</w:t>
      </w:r>
      <w:r w:rsidRPr="00726A2F">
        <w:tab/>
        <w:t>ponawia apel o pilne przyspieszenie produkcji i dostaw priorytetowego sprzętu wojskowego dla Ukrainy, w szczególności systemów obrony powietrznej, amunicji, dronów i pocisków rakietowych, ponieważ Ukraina znajduje się w krytycznym momencie, gdy poważne braki w zdolnościach obrony powietrznej powodują coraz większe zagrożenie dla ludności i infrastruktury;</w:t>
      </w:r>
    </w:p>
    <w:p w:rsidR="00413DE0" w:rsidRPr="00726A2F" w:rsidP="00413DE0" w14:paraId="4C1EC54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8.</w:t>
      </w:r>
      <w:r w:rsidRPr="00726A2F">
        <w:tab/>
        <w:t xml:space="preserve">podkreśla, że tym wrogim działaniom towarzyszy agresywna kampania dezinformacyjna mająca na celu zastraszenie miejscowej ludności, szerzenie lęku, spowodowanie szkód dla lokalnych gospodarek i stworzenie podstaw do ewentualnych działań odwetowych, jak w przypadku nieuzasadnionych rosyjskich zarzutów, że państwa bałtyckie zezwalają Ukrainie na wykorzystywanie ich terytoriów i przestrzeni powietrznej do ataków </w:t>
      </w:r>
      <w:r w:rsidRPr="00726A2F">
        <w:t>dronowych</w:t>
      </w:r>
      <w:r w:rsidRPr="00726A2F">
        <w:t xml:space="preserve"> na cele w Rosji;</w:t>
      </w:r>
    </w:p>
    <w:p w:rsidR="00413DE0" w:rsidRPr="00726A2F" w:rsidP="00413DE0" w14:paraId="53831D78" w14:textId="77777777">
      <w:pPr>
        <w:pStyle w:val="NormalHanging12a"/>
      </w:pPr>
      <w:r w:rsidRPr="00726A2F">
        <w:t>9.</w:t>
      </w:r>
      <w:r w:rsidRPr="00726A2F">
        <w:tab/>
        <w:t>ponawia apel o pilne ustanowienie prawdziwej europejskiej unii obrony, obejmującej sprawne procedury podejmowania decyzji i wykraczającej poza istniejące ramy, w tym ramy określone w białej księdze w sprawie obronności europejskiej – Gotowość 2030 i późniejszym planie działania na rzecz gotowości obronnej do 2030 r.; podkreśla, że głębsza integracja, koordynacja i łączenie zasobów są niezbędne do tego, aby UE mogła skutecznie reagować na nasilające się zagrożenia ze strony Rosji; wzywa do wzmocnienia europejskiej bazy technologiczno-przemysłowej sektora obronnego i jej zdolności produkcyjnych w całej UE poprzez lepszą koordynację na szczeblu UE, z maksymalnym wykorzystaniem inicjatyw krajowych i instrumentów UE;</w:t>
      </w:r>
    </w:p>
    <w:p w:rsidR="00413DE0" w:rsidRPr="00726A2F" w:rsidP="00413DE0" w14:paraId="680E54EA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10.</w:t>
      </w:r>
      <w:r w:rsidRPr="00726A2F">
        <w:tab/>
        <w:t>wzywa do dalszej operacjonalizacji klauzuli solidarności (art. 222 Traktatu o funkcjonowaniu Unii Europejskiej) oraz klauzuli wzajemnej pomocy (art. 42 ust. 7 Traktatu o Unii Europejskiej), w tym na wypadek, gdyby atak konwencjonalny lub hybrydowy spowodował powołanie się na te klauzule przez jedno z państw członkowskich;</w:t>
      </w:r>
    </w:p>
    <w:p w:rsidR="00413DE0" w:rsidRPr="00726A2F" w:rsidP="00413DE0" w14:paraId="08DC8A6D" w14:textId="77777777">
      <w:pPr>
        <w:pStyle w:val="NormalHanging12a"/>
      </w:pPr>
      <w:r w:rsidRPr="00726A2F">
        <w:t>11.</w:t>
      </w:r>
      <w:r w:rsidRPr="00726A2F">
        <w:tab/>
        <w:t>podkreśla potrzebę spójnego wzmocnienia wschodniej flanki UE i NATO na całej jej długości, od Arktyki po Morze Czarne, w tym w wymiarze lądowym, morskim i powietrznym, poprzez budowanie zdolności w państwach członkowskich pierwszej linii do zwalczania dronów i balonów meteorologicznych oraz poprzez przydzielenie na ten cel odpowiednich zasobów; wzywa UE i jej państwa członkowskie do pilnego wzmocnienia zdolności w zakresie wykrywania, zagłuszania, przechwytywania i neutralizacji wzdłuż wschodniej flanki UE; nawołuje ponadto do regularnych wspólnych ćwiczeń z udziałem państw członkowskich, instytucji UE, Ukrainy i NATO w celu przetestowania i poprawy gotowości tych mechanizmów szybkiego reagowania;</w:t>
      </w:r>
    </w:p>
    <w:p w:rsidR="00413DE0" w:rsidRPr="00726A2F" w:rsidP="00413DE0" w14:paraId="0FB71CEA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12.</w:t>
      </w:r>
      <w:r w:rsidRPr="00726A2F">
        <w:tab/>
        <w:t xml:space="preserve">zaleca włączenie systemów </w:t>
      </w:r>
      <w:r w:rsidRPr="00726A2F">
        <w:t>antydronowych</w:t>
      </w:r>
      <w:r w:rsidRPr="00726A2F">
        <w:t xml:space="preserve"> do wspólnych ćwiczeń szkoleniowych i planowania ochrony ludności cywilnej na szczeblu UE ze szczególnym uwzględnieniem infrastruktury krytycznej, która umożliwia policji, władzom portów lotniczych i operatorom sektora energetycznego dostęp do </w:t>
      </w:r>
      <w:r w:rsidRPr="00726A2F">
        <w:t>ogólnounijnych</w:t>
      </w:r>
      <w:r w:rsidRPr="00726A2F">
        <w:t xml:space="preserve"> szkoleń i znormalizowanych systemów </w:t>
      </w:r>
      <w:r w:rsidRPr="00726A2F">
        <w:t>antydronowych</w:t>
      </w:r>
      <w:r w:rsidRPr="00726A2F">
        <w:t>;</w:t>
      </w:r>
    </w:p>
    <w:p w:rsidR="00413DE0" w:rsidRPr="00726A2F" w:rsidP="00413DE0" w14:paraId="7EDD0203" w14:textId="77777777">
      <w:pPr>
        <w:pStyle w:val="NormalHanging12a"/>
      </w:pPr>
      <w:r w:rsidRPr="00726A2F">
        <w:t>13.</w:t>
      </w:r>
      <w:r w:rsidRPr="00726A2F">
        <w:tab/>
        <w:t>podkreśla z zaniepokojeniem, że obecne europejskie systemy wykrywania dronów i obrony przed nimi są niewystarczające, i podkreśla pilną potrzebę usprawnienia tych systemów; podkreśla w związku z tym, że potrzebne jest podejście całościowe, zakładające lepsze wyposażenie organów ścigania i władz cywilnych w środki wykrywania dronów i obrony przed nimi;</w:t>
      </w:r>
    </w:p>
    <w:p w:rsidR="00413DE0" w:rsidRPr="00726A2F" w:rsidP="00413DE0" w14:paraId="7FA3387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14.</w:t>
      </w:r>
      <w:r w:rsidRPr="00726A2F">
        <w:tab/>
        <w:t>zachęca państwa członkowskie do priorytetowego traktowania integracji systemu dowodzenia i kontroli ze służbami interwencyjnymi, obroną cywilną i doktrynami obrony przed systemami bezzałogowych statków powietrznych, aby w jak największym stopniu zoptymalizować gotowość cywilną, schrony, wczesne ostrzeganie i integrację technologiczną;</w:t>
      </w:r>
    </w:p>
    <w:p w:rsidR="00413DE0" w:rsidRPr="00726A2F" w:rsidP="00413DE0" w14:paraId="33B9B4A6" w14:textId="77777777">
      <w:pPr>
        <w:pStyle w:val="NormalHanging12a"/>
      </w:pPr>
      <w:r w:rsidRPr="00726A2F">
        <w:t>15.</w:t>
      </w:r>
      <w:r w:rsidRPr="00726A2F">
        <w:tab/>
        <w:t>podkreśla, że celowe wtargnięcia Rosji na obszar wschodniej flanki UE i NATO mają na celu nie tylko prowokowanie i destabilizację państw członkowskich, ale również testowanie i wykorzystywanie słabych punktów w zdolnościach NATO w zakresie wykrywania i reagowania; zwraca uwagę, że Rosja kontynuuje destabilizujące działania w regionie Morza Czarnego, zarówno poprzez działania konwencjonalne, jak i hybrydowe, w tym poprzez stosowanie min dryfujących, operacje zagłuszania i groźby ograniczenia swobody żeglugi, co sprawia, że wzmocnienie bezpieczeństwa w tym regionie jest strategicznym priorytetem, którym należy się pilnie zająć, gdyż chodzi tu o zagrożenie dla bezpieczeństwa europejskiego;</w:t>
      </w:r>
    </w:p>
    <w:p w:rsidR="00413DE0" w:rsidRPr="00726A2F" w:rsidP="00413DE0" w14:paraId="76541D8B" w14:textId="77777777">
      <w:pPr>
        <w:pStyle w:val="NormalHanging12a"/>
      </w:pPr>
      <w:r w:rsidRPr="00726A2F">
        <w:t>16.</w:t>
      </w:r>
      <w:r w:rsidRPr="00726A2F">
        <w:tab/>
        <w:t>wzywa do pełnego wdrożenia strategicznego podejścia UE do Morza Czarnego i apeluje o przyspieszenie tworzenia Czarnomorskiego Centrum Bezpieczeństwa Morskiego;</w:t>
      </w:r>
    </w:p>
    <w:p w:rsidR="00413DE0" w:rsidRPr="00726A2F" w:rsidP="00413DE0" w14:paraId="13FE4427" w14:textId="77777777">
      <w:pPr>
        <w:pStyle w:val="NormalHanging12a"/>
      </w:pPr>
      <w:r w:rsidRPr="00726A2F">
        <w:t>17.</w:t>
      </w:r>
      <w:r w:rsidRPr="00726A2F">
        <w:tab/>
        <w:t xml:space="preserve">z zadowoleniem przyjmuje niedawne zatwierdzenie 20. pakietu sankcji UE wobec Rosji oraz przedstawienie 21. pakietu sankcji; wzywa Komisję, wysłannika UE ds. sankcji i państwa członkowskie do skrupulatnego wdrażania nowych i istniejących sankcji oraz do bezzwłocznego i priorytetowego usunięcia luk w łańcuchach dostaw; wzywa Komisję do bezzwłocznego zaproponowania dodatkowych sankcji, w tym sankcji dotyczących tlenku </w:t>
      </w:r>
      <w:r w:rsidRPr="00726A2F">
        <w:t>glinu</w:t>
      </w:r>
      <w:r w:rsidRPr="00726A2F">
        <w:t xml:space="preserve"> i innych surowców strategicznych oraz produktów podwójnego zastosowania, a także apeluje do wszystkich państw członkowskich o nieblokowanie takiego wpisu na listę sankcyjną ze względu na krajowy interes gospodarczy; popiera dodatkowe środki w ramach przyszłego pakietu sankcji wymierzone w sektor energetyczny i finansowy Federacji Rosyjskiej, a także zakaz wjazdu do UE dla rosyjskich kombatantów, którzy walczyli w Ukrainie, i wzywa państwa członkowskie, które nadal wspierają Federację Rosyjską, do zaprzestania takiego wsparcia;</w:t>
      </w:r>
    </w:p>
    <w:p w:rsidR="00413DE0" w:rsidRPr="00726A2F" w:rsidP="00413DE0" w14:paraId="1C8939F4" w14:textId="77777777">
      <w:pPr>
        <w:pStyle w:val="NormalHanging12a"/>
      </w:pPr>
      <w:r w:rsidRPr="00726A2F">
        <w:t>18.</w:t>
      </w:r>
      <w:r w:rsidRPr="00726A2F">
        <w:tab/>
        <w:t>wzywa państwa członkowskie, w szczególności te, które wydają najwięcej wiz obywatelom rosyjskim, do ścisłego wdrożenia decyzji wykonawczej Komisji z 6 listopada 2025 r. ustanawiającej dostosowane przepisy dotyczące wydawania wiz wielokrotnego wjazdu obywatelom rosyjskim mieszkającym w Federacji Rosyjskiej i ubiegającym się w Federacji Rosyjskiej o wizy krótkoterminowe</w:t>
      </w:r>
      <w:r>
        <w:rPr>
          <w:rStyle w:val="FootnoteReference"/>
        </w:rPr>
        <w:footnoteReference w:id="4"/>
      </w:r>
      <w:r w:rsidRPr="00726A2F">
        <w:t xml:space="preserve"> oraz do stosowania wszystkich wytycznych Komisji z 2022 r. dotyczących </w:t>
      </w:r>
      <w:r w:rsidRPr="00726A2F">
        <w:t>rygorystyczniejszej</w:t>
      </w:r>
      <w:r w:rsidRPr="00726A2F">
        <w:t xml:space="preserve"> kontroli, zwłaszcza w odniesieniu do podróży turystycznych i innych niż niezbędne, przy jednoczesnym zapewnieniu możliwości wjazdu antywojennym działaczom politycznym, niezależnym dziennikarzom, obrońcom praw człowieka, przedstawicielom społeczeństwa obywatelskiego i osobom, których sprawy mają charakter humanitarny;</w:t>
      </w:r>
    </w:p>
    <w:p w:rsidR="00413DE0" w:rsidRPr="00726A2F" w:rsidP="00413DE0" w14:paraId="5780F871" w14:textId="49667403">
      <w:pPr>
        <w:pStyle w:val="NormalHanging12a"/>
        <w:rPr>
          <w:rFonts w:eastAsia="Aptos"/>
          <w:kern w:val="2"/>
          <w14:ligatures w14:val="standardContextual"/>
        </w:rPr>
      </w:pPr>
      <w:bookmarkStart w:id="6" w:name="_Hlk232685308"/>
      <w:r w:rsidRPr="00726A2F">
        <w:t>19.</w:t>
      </w:r>
      <w:r w:rsidRPr="00726A2F">
        <w:tab/>
        <w:t xml:space="preserve">wzywa do ustanowienia horyzontalnych ram sankcji UE opracowanych specjalnie na potrzeby </w:t>
      </w:r>
      <w:bookmarkStart w:id="7" w:name="_Hlk232495892"/>
      <w:r w:rsidRPr="00726A2F">
        <w:t xml:space="preserve">zagrożeń hybrydowych, które istniałyby obok systemu sankcji hybrydowych wobec Rosji, </w:t>
      </w:r>
      <w:bookmarkEnd w:id="7"/>
      <w:r w:rsidRPr="00726A2F">
        <w:t>aby podkreślić aktywne zaangażowanie Rosji w operacje hybrydowe na całym świecie, a jednocześnie umożliwić szybsze i bardziej systematyczne nakładanie sankcji na podmioty odpowiedzialne za kampanie hybrydowe;</w:t>
      </w:r>
      <w:r w:rsidR="00432463">
        <w:t xml:space="preserve"> </w:t>
      </w:r>
      <w:r w:rsidRPr="00E71F52" w:rsidR="00E71F52">
        <w:t xml:space="preserve">przypomina, że niektóre </w:t>
      </w:r>
      <w:r w:rsidRPr="00E71F52" w:rsidR="00E71F52">
        <w:t>osoby, w tym Ksenia Fedorowa we Francji, która pracowała dla objętych sankcjami rosyjskich mediów propagandowych, takich jak RT, nadal szerzą dezinformację w Europie; wzywa do umieszczenia ich na liście osób objętych sankcjami w kolejnym pakiecie sankcji;</w:t>
      </w:r>
      <w:bookmarkEnd w:id="6"/>
    </w:p>
    <w:p w:rsidR="00413DE0" w:rsidRPr="00726A2F" w:rsidP="00413DE0" w14:paraId="09C7E6BD" w14:textId="77777777">
      <w:pPr>
        <w:pStyle w:val="NormalHanging12a"/>
        <w:rPr>
          <w:rFonts w:eastAsia="Aptos"/>
          <w:kern w:val="2"/>
          <w14:ligatures w14:val="standardContextual"/>
        </w:rPr>
      </w:pPr>
      <w:bookmarkStart w:id="8" w:name="_Hlk232495916"/>
      <w:r w:rsidRPr="00726A2F">
        <w:t>20.</w:t>
      </w:r>
      <w:r w:rsidRPr="00726A2F">
        <w:tab/>
        <w:t xml:space="preserve">wzywa UE i jej państwa członkowskie do zapewnienia odpowiedniego finansowania na budowę i renowację cywilnych schronów przeciwlotniczych w państwach członkowskich wschodniej flanki oraz do przeprowadzenia </w:t>
      </w:r>
      <w:r w:rsidRPr="00726A2F">
        <w:t>ogólnounijnych</w:t>
      </w:r>
      <w:r w:rsidRPr="00726A2F">
        <w:t xml:space="preserve"> kampanii informacyjnych i ćwiczeń cywilnych, aby uświadomić obywatelom, jak należy postępować w przypadku nalotu lub podobnej sytuacji kryzysowej</w:t>
      </w:r>
      <w:bookmarkEnd w:id="8"/>
      <w:r w:rsidRPr="00726A2F">
        <w:t>; uważa, że ochronę ludności cywilnej UE przed zagrożeniami z powietrza należy traktować jako integralny element europejskiej gotowości obronnej, przygotowania i odporności; podkreśla pilną potrzebę zwiększenia finansowania programów i projektów w dziedzinie bezpieczeństwa i obrony, ze szczególnym naciskiem na kraje wschodniej flanki, w kolejnych wieloletnich ramach finansowych; wzywa UE i jej państwa członkowskie, aby przyjęły kompleksowe podejście obejmujące całe społeczeństwo, gdyż trwałe bezpieczeństwo wymaga nie tylko odpowiednich zdolności wojskowych, ale również spójności społecznej, odporności gospodarczej, stabilności demokratycznej i silnych usług publicznych;</w:t>
      </w:r>
    </w:p>
    <w:p w:rsidR="00413DE0" w:rsidRPr="00726A2F" w:rsidP="00413DE0" w14:paraId="54EB9269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21.</w:t>
      </w:r>
      <w:r w:rsidRPr="00726A2F">
        <w:tab/>
        <w:t xml:space="preserve">podkreśla, że Ukraina posiada wyjątkową operacyjną i przemysłową wiedzę fachową w zakresie produkcji dronów i systemów </w:t>
      </w:r>
      <w:r w:rsidRPr="00726A2F">
        <w:t>antydronowych</w:t>
      </w:r>
      <w:r w:rsidRPr="00726A2F">
        <w:t>; w związku z tym uważa, że pogłębienie współpracy przemysłowej UE z Ukrainą w dziedzinie obronności w tym zakresie jest imperatywem strategicznym; wzywa UE i jej państwa członkowskie do pełnego włączenia ukraińskiej wiedzy fachowej i potencjału przemysłowego w rozwój europejskich zdolności do przeciwdziałania niekonwencjonalnym zagrożeniom z powietrza;</w:t>
      </w:r>
    </w:p>
    <w:p w:rsidR="00413DE0" w:rsidRPr="00726A2F" w:rsidP="00413DE0" w14:paraId="6C5CB75C" w14:textId="77777777">
      <w:pPr>
        <w:pStyle w:val="NormalHanging12a"/>
      </w:pPr>
      <w:r w:rsidRPr="00726A2F">
        <w:t>22.</w:t>
      </w:r>
      <w:r w:rsidRPr="00726A2F">
        <w:tab/>
        <w:t>podkreśla, że w przeciwdziałaniu zagrożeniom związanym z dronami pochodzącymi z Rosji współpraca z Republiką Mołdawii – wraz z Ukrainą – ma zasadnicze znaczenie pod względem skuteczności operacyjnej, orientacji sytuacyjnej i wymiany informacji; w związku z tym wzywa państwa członkowskie do zwiększenia środków finansowych dla Mołdawii za pośrednictwem Europejskiego Instrumentu na rzecz Pokoju, również w kontekście powtarzających się naruszeń mołdawskiej przestrzeni powietrznej przez rosyjskie drony i pociski rakietowe; ponadto wzywa państwa członkowskie do uwzględnienia Mołdawii i Ukrainy przy wspólnych zamówieniach w dziedzinie obronności;</w:t>
      </w:r>
    </w:p>
    <w:p w:rsidR="00413DE0" w:rsidRPr="00726A2F" w:rsidP="00413DE0" w14:paraId="3BF32FDF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23.</w:t>
      </w:r>
      <w:r w:rsidRPr="00726A2F">
        <w:tab/>
        <w:t xml:space="preserve">wzywa państwa członkowskie do pilnego zapewnienia priorytetowych zdolności określonych w białej księdze w sprawie obronności europejskiej – Gotowość 2030, w szczególności obrony powietrznej i przeciwrakietowej oraz dronów i systemów </w:t>
      </w:r>
      <w:r w:rsidRPr="00726A2F">
        <w:t>antydronowych</w:t>
      </w:r>
      <w:r w:rsidRPr="00726A2F">
        <w:t xml:space="preserve">; </w:t>
      </w:r>
      <w:r w:rsidRPr="00726A2F">
        <w:rPr>
          <w:rStyle w:val="normaltextrun"/>
          <w:color w:val="000000"/>
        </w:rPr>
        <w:t>wzywa państwa członkowskie do szybkiego stworzenia wspólnych, wielopoziomowych i efektywnych kosztowo systemów obrony przed dronami, począwszy od wschodniej flanki, zdolnych do wykrywania i przechwytywania zagrożeń powietrznych i morskich spoza UE,</w:t>
      </w:r>
      <w:r w:rsidRPr="00726A2F">
        <w:t xml:space="preserve"> w tym poprzez wzmocniony nadzór powietrzny i morski, systemy wczesnego ostrzegania, środki szybkiego reagowania oraz ulepszoną infrastrukturę mobilności wojskowej</w:t>
      </w:r>
      <w:r w:rsidRPr="00726A2F">
        <w:rPr>
          <w:rStyle w:val="normaltextrun"/>
          <w:color w:val="000000"/>
        </w:rPr>
        <w:t>;</w:t>
      </w:r>
    </w:p>
    <w:p w:rsidR="00413DE0" w:rsidRPr="00726A2F" w:rsidP="00413DE0" w14:paraId="7B8043C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24.</w:t>
      </w:r>
      <w:r w:rsidRPr="00726A2F">
        <w:tab/>
        <w:t>wzywa do utworzenia europejskiego centrum doskonałości w zakresie walki z użyciem dronów, w którym ukraińscy instruktorzy przekazywaliby swoją wiedzę fachową państwom członkowskim UE;</w:t>
      </w:r>
    </w:p>
    <w:p w:rsidR="00413DE0" w:rsidRPr="00726A2F" w:rsidP="00413DE0" w14:paraId="02B4BA88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726A2F">
        <w:t>25.</w:t>
      </w:r>
      <w:r w:rsidRPr="00726A2F">
        <w:tab/>
        <w:t>wzywa do pełnego i szybkiego wdrożenia europejskiej inicjatywy na rzecz obrony przed dronami i straży wschodniej flanki; wzywa państwa członkowskie do aktywnego zaangażowania się w obie inicjatywy i wniesienia do nich wkładu, w ścisłej koordynacji z NATO;</w:t>
      </w:r>
    </w:p>
    <w:p w:rsidR="00726A2F" w:rsidRPr="00726A2F" w:rsidP="00726A2F" w14:paraId="6A649E7D" w14:textId="78B1043F">
      <w:pPr>
        <w:pStyle w:val="NormalHanging12a"/>
      </w:pPr>
      <w:r w:rsidRPr="00726A2F">
        <w:t xml:space="preserve">26. </w:t>
      </w:r>
      <w:r w:rsidRPr="00726A2F">
        <w:tab/>
        <w:t>zobowiązuje swoją przewodniczącą do przekazania niniejszej rezolucji Radzie, Komisji, rządom i parlamentom państw członkowskich, sekretarzowi generalnemu NATO, UNESCO, Organizacji Bezpieczeństwa i Współpracy w Europie, Radzie Europy, prezydentowi, rządowi i Radzie Najwyższej Ukrainy, władzom Federacji Rosyjskiej oraz faktycznym władzom reżimu Łukaszenki.</w:t>
      </w:r>
    </w:p>
    <w:p w:rsidR="00E365E1" w:rsidRPr="00726A2F" w:rsidP="00B466F4" w14:paraId="406A0E1B" w14:textId="169D513B"/>
    <w:sectPr w:rsidSect="00726A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13C3954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140BE36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32A7F6C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466F4" w:rsidRPr="00726A2F" w14:paraId="13B6CED6" w14:textId="77777777">
      <w:r w:rsidRPr="00726A2F">
        <w:separator/>
      </w:r>
    </w:p>
  </w:footnote>
  <w:footnote w:type="continuationSeparator" w:id="1">
    <w:p w:rsidR="00B466F4" w:rsidRPr="00726A2F" w14:paraId="462B375D" w14:textId="77777777">
      <w:r w:rsidRPr="00726A2F">
        <w:continuationSeparator/>
      </w:r>
    </w:p>
  </w:footnote>
  <w:footnote w:id="2">
    <w:p w:rsidR="00413DE0" w:rsidRPr="00923D22" w:rsidP="00726A2F" w14:paraId="50F83E50" w14:textId="5D4C9680">
      <w:pPr>
        <w:pStyle w:val="FootnoteText"/>
        <w:ind w:left="567" w:hanging="567"/>
        <w:rPr>
          <w:sz w:val="24"/>
          <w:lang w:val="fi-FI"/>
        </w:rPr>
      </w:pPr>
      <w:r w:rsidRPr="00726A2F">
        <w:rPr>
          <w:rStyle w:val="FootnoteReference"/>
          <w:sz w:val="24"/>
          <w:lang w:val="pl-PL"/>
        </w:rPr>
        <w:footnoteRef/>
      </w:r>
      <w:r w:rsidRPr="00923D22" w:rsidR="00726A2F">
        <w:rPr>
          <w:sz w:val="24"/>
          <w:lang w:val="fi-FI"/>
        </w:rPr>
        <w:t xml:space="preserve"> </w:t>
      </w:r>
      <w:r w:rsidRPr="00923D22" w:rsidR="00726A2F">
        <w:rPr>
          <w:sz w:val="24"/>
          <w:lang w:val="fi-FI"/>
        </w:rPr>
        <w:tab/>
      </w:r>
      <w:r w:rsidRPr="00923D22">
        <w:rPr>
          <w:sz w:val="24"/>
          <w:lang w:val="fi-FI"/>
        </w:rPr>
        <w:t>Dz.U</w:t>
      </w:r>
      <w:r w:rsidRPr="00923D22">
        <w:rPr>
          <w:sz w:val="24"/>
          <w:lang w:val="fi-FI"/>
        </w:rPr>
        <w:t xml:space="preserve">. C, C/2026/1530, 15.4.2026, ELI: </w:t>
      </w:r>
      <w:hyperlink r:id="rId1" w:history="1">
        <w:r w:rsidRPr="00923D22">
          <w:rPr>
            <w:rStyle w:val="Hyperlink"/>
            <w:sz w:val="24"/>
            <w:lang w:val="fi-FI"/>
          </w:rPr>
          <w:t>http://data.europa.eu/eli/C/2026/1530/oj</w:t>
        </w:r>
      </w:hyperlink>
      <w:r w:rsidRPr="00923D22">
        <w:rPr>
          <w:sz w:val="24"/>
          <w:lang w:val="fi-FI"/>
        </w:rPr>
        <w:t xml:space="preserve">. </w:t>
      </w:r>
    </w:p>
  </w:footnote>
  <w:footnote w:id="3">
    <w:p w:rsidR="00413DE0" w:rsidRPr="00923D22" w:rsidP="00726A2F" w14:paraId="5E7B54F5" w14:textId="70953DB1">
      <w:pPr>
        <w:pStyle w:val="FootnoteText"/>
        <w:ind w:left="567" w:hanging="567"/>
        <w:rPr>
          <w:sz w:val="24"/>
          <w:lang w:val="fi-FI"/>
        </w:rPr>
      </w:pPr>
      <w:r w:rsidRPr="00726A2F">
        <w:rPr>
          <w:rStyle w:val="FootnoteReference"/>
          <w:sz w:val="24"/>
          <w:lang w:val="pl-PL"/>
        </w:rPr>
        <w:footnoteRef/>
      </w:r>
      <w:r w:rsidRPr="00923D22" w:rsidR="00726A2F">
        <w:rPr>
          <w:sz w:val="24"/>
          <w:lang w:val="fi-FI"/>
        </w:rPr>
        <w:t xml:space="preserve"> </w:t>
      </w:r>
      <w:r w:rsidRPr="00923D22" w:rsidR="00726A2F">
        <w:rPr>
          <w:sz w:val="24"/>
          <w:lang w:val="fi-FI"/>
        </w:rPr>
        <w:tab/>
      </w:r>
      <w:r w:rsidRPr="00923D22">
        <w:rPr>
          <w:sz w:val="24"/>
          <w:lang w:val="fi-FI"/>
        </w:rPr>
        <w:t>Dz.U</w:t>
      </w:r>
      <w:r w:rsidRPr="00923D22">
        <w:rPr>
          <w:sz w:val="24"/>
          <w:lang w:val="fi-FI"/>
        </w:rPr>
        <w:t xml:space="preserve">. C, C/2025/3151, 20.6.2025, ELI: </w:t>
      </w:r>
      <w:hyperlink r:id="rId2" w:history="1">
        <w:r w:rsidRPr="00923D22">
          <w:rPr>
            <w:rStyle w:val="Hyperlink"/>
            <w:sz w:val="24"/>
            <w:lang w:val="fi-FI"/>
          </w:rPr>
          <w:t>http://data.europa.eu/eli/C/2025/3151/oj</w:t>
        </w:r>
      </w:hyperlink>
      <w:r w:rsidRPr="00923D22">
        <w:rPr>
          <w:sz w:val="24"/>
          <w:lang w:val="fi-FI"/>
        </w:rPr>
        <w:t>.</w:t>
      </w:r>
    </w:p>
  </w:footnote>
  <w:footnote w:id="4">
    <w:p w:rsidR="00413DE0" w:rsidRPr="00726A2F" w:rsidP="00726A2F" w14:paraId="3C77294D" w14:textId="6B5C67C7">
      <w:pPr>
        <w:pStyle w:val="FootnoteText"/>
        <w:ind w:left="567" w:hanging="567"/>
        <w:rPr>
          <w:sz w:val="24"/>
          <w:lang w:val="pl-PL"/>
        </w:rPr>
      </w:pPr>
      <w:r w:rsidRPr="00726A2F">
        <w:rPr>
          <w:rStyle w:val="FootnoteReference"/>
          <w:sz w:val="24"/>
          <w:lang w:val="pl-PL"/>
        </w:rPr>
        <w:footnoteRef/>
      </w:r>
      <w:r w:rsidRPr="00726A2F" w:rsidR="00726A2F">
        <w:rPr>
          <w:sz w:val="24"/>
          <w:lang w:val="pl-PL"/>
        </w:rPr>
        <w:t xml:space="preserve"> </w:t>
      </w:r>
      <w:r w:rsidRPr="00726A2F" w:rsidR="00726A2F">
        <w:rPr>
          <w:sz w:val="24"/>
          <w:lang w:val="pl-PL"/>
        </w:rPr>
        <w:tab/>
      </w:r>
      <w:r w:rsidRPr="00726A2F">
        <w:rPr>
          <w:sz w:val="24"/>
          <w:lang w:val="pl-PL"/>
        </w:rPr>
        <w:t>(</w:t>
      </w:r>
      <w:r w:rsidRPr="00726A2F">
        <w:rPr>
          <w:sz w:val="24"/>
          <w:lang w:val="pl-PL"/>
        </w:rPr>
        <w:t>C(</w:t>
      </w:r>
      <w:r w:rsidRPr="00726A2F">
        <w:rPr>
          <w:sz w:val="24"/>
          <w:lang w:val="pl-PL"/>
        </w:rPr>
        <w:t>2025)7552).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6897E91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2C2B2A9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6A2F" w14:paraId="74483A2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7150820">
    <w:abstractNumId w:val="9"/>
  </w:num>
  <w:num w:numId="2" w16cid:durableId="1898399723">
    <w:abstractNumId w:val="9"/>
  </w:num>
  <w:num w:numId="3" w16cid:durableId="675307607">
    <w:abstractNumId w:val="7"/>
  </w:num>
  <w:num w:numId="4" w16cid:durableId="1290630222">
    <w:abstractNumId w:val="7"/>
  </w:num>
  <w:num w:numId="5" w16cid:durableId="675500640">
    <w:abstractNumId w:val="6"/>
  </w:num>
  <w:num w:numId="6" w16cid:durableId="1598447156">
    <w:abstractNumId w:val="6"/>
  </w:num>
  <w:num w:numId="7" w16cid:durableId="762337254">
    <w:abstractNumId w:val="5"/>
  </w:num>
  <w:num w:numId="8" w16cid:durableId="248123808">
    <w:abstractNumId w:val="5"/>
  </w:num>
  <w:num w:numId="9" w16cid:durableId="1637488656">
    <w:abstractNumId w:val="4"/>
  </w:num>
  <w:num w:numId="10" w16cid:durableId="1656572134">
    <w:abstractNumId w:val="4"/>
  </w:num>
  <w:num w:numId="11" w16cid:durableId="684015686">
    <w:abstractNumId w:val="8"/>
  </w:num>
  <w:num w:numId="12" w16cid:durableId="1425877298">
    <w:abstractNumId w:val="8"/>
  </w:num>
  <w:num w:numId="13" w16cid:durableId="178396505">
    <w:abstractNumId w:val="3"/>
  </w:num>
  <w:num w:numId="14" w16cid:durableId="1304966848">
    <w:abstractNumId w:val="3"/>
  </w:num>
  <w:num w:numId="15" w16cid:durableId="107362219">
    <w:abstractNumId w:val="2"/>
  </w:num>
  <w:num w:numId="16" w16cid:durableId="1053652139">
    <w:abstractNumId w:val="2"/>
  </w:num>
  <w:num w:numId="17" w16cid:durableId="1842085891">
    <w:abstractNumId w:val="1"/>
  </w:num>
  <w:num w:numId="18" w16cid:durableId="616449521">
    <w:abstractNumId w:val="1"/>
  </w:num>
  <w:num w:numId="19" w16cid:durableId="1101532836">
    <w:abstractNumId w:val="0"/>
  </w:num>
  <w:num w:numId="20" w16cid:durableId="1957516704">
    <w:abstractNumId w:val="0"/>
  </w:num>
  <w:num w:numId="21" w16cid:durableId="1749156821">
    <w:abstractNumId w:val="9"/>
  </w:num>
  <w:num w:numId="22" w16cid:durableId="1601180618">
    <w:abstractNumId w:val="7"/>
  </w:num>
  <w:num w:numId="23" w16cid:durableId="463159978">
    <w:abstractNumId w:val="6"/>
  </w:num>
  <w:num w:numId="24" w16cid:durableId="506674414">
    <w:abstractNumId w:val="5"/>
  </w:num>
  <w:num w:numId="25" w16cid:durableId="1840460301">
    <w:abstractNumId w:val="4"/>
  </w:num>
  <w:num w:numId="26" w16cid:durableId="811215938">
    <w:abstractNumId w:val="8"/>
  </w:num>
  <w:num w:numId="27" w16cid:durableId="777144902">
    <w:abstractNumId w:val="3"/>
  </w:num>
  <w:num w:numId="28" w16cid:durableId="1729572375">
    <w:abstractNumId w:val="2"/>
  </w:num>
  <w:num w:numId="29" w16cid:durableId="1124890488">
    <w:abstractNumId w:val="1"/>
  </w:num>
  <w:num w:numId="30" w16cid:durableId="957490531">
    <w:abstractNumId w:val="0"/>
  </w:num>
  <w:num w:numId="31" w16cid:durableId="1366639956">
    <w:abstractNumId w:val="9"/>
  </w:num>
  <w:num w:numId="32" w16cid:durableId="342709398">
    <w:abstractNumId w:val="7"/>
  </w:num>
  <w:num w:numId="33" w16cid:durableId="1201012811">
    <w:abstractNumId w:val="6"/>
  </w:num>
  <w:num w:numId="34" w16cid:durableId="1741831755">
    <w:abstractNumId w:val="5"/>
  </w:num>
  <w:num w:numId="35" w16cid:durableId="1618946588">
    <w:abstractNumId w:val="4"/>
  </w:num>
  <w:num w:numId="36" w16cid:durableId="1999575909">
    <w:abstractNumId w:val="8"/>
  </w:num>
  <w:num w:numId="37" w16cid:durableId="1223441817">
    <w:abstractNumId w:val="3"/>
  </w:num>
  <w:num w:numId="38" w16cid:durableId="848643379">
    <w:abstractNumId w:val="2"/>
  </w:num>
  <w:num w:numId="39" w16cid:durableId="496842467">
    <w:abstractNumId w:val="1"/>
  </w:num>
  <w:num w:numId="40" w16cid:durableId="1561862866">
    <w:abstractNumId w:val="0"/>
  </w:num>
  <w:num w:numId="41" w16cid:durableId="885606957">
    <w:abstractNumId w:val="10"/>
  </w:num>
  <w:num w:numId="42" w16cid:durableId="1117529603">
    <w:abstractNumId w:val="10"/>
  </w:num>
  <w:num w:numId="43" w16cid:durableId="2014608474">
    <w:abstractNumId w:val="10"/>
  </w:num>
  <w:num w:numId="44" w16cid:durableId="737428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6EE"/>
    <w:rsid w:val="00413DE0"/>
    <w:rsid w:val="0041666E"/>
    <w:rsid w:val="00421060"/>
    <w:rsid w:val="0043246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A2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03"/>
    <w:rsid w:val="00923D2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6F4"/>
    <w:rsid w:val="00B558F0"/>
    <w:rsid w:val="00BD48FE"/>
    <w:rsid w:val="00BD7BD8"/>
    <w:rsid w:val="00BE6ADC"/>
    <w:rsid w:val="00C05BFE"/>
    <w:rsid w:val="00C23CD4"/>
    <w:rsid w:val="00C61C0C"/>
    <w:rsid w:val="00C92E0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618"/>
    <w:rsid w:val="00E365E1"/>
    <w:rsid w:val="00E71F5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04/2026"/>
    <w:docVar w:name="dvlangue" w:val="PL"/>
    <w:docVar w:name="dvnumam" w:val="0"/>
    <w:docVar w:name="dvpe" w:val="783.361"/>
    <w:docVar w:name="dvtitre" w:val="Rezolucja Parlamentu Europejskiego z dnia  2026 r. w sprawie niedopuszczalnych rosyjskich prowokacji i wtargnięcia dronów do Rumunii, państw bałtyckich i Finlandii(2026/277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0C08BD"/>
  <w15:chartTrackingRefBased/>
  <w15:docId w15:val="{F7B92C7F-A4E5-408B-9BE1-D0A491D2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13DE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13DE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13DE0"/>
    <w:rPr>
      <w:sz w:val="24"/>
      <w:lang w:val="pl-PL"/>
    </w:rPr>
  </w:style>
  <w:style w:type="character" w:customStyle="1" w:styleId="normaltextrun">
    <w:name w:val="normaltextrun"/>
    <w:basedOn w:val="DefaultParagraphFont"/>
    <w:rsid w:val="00413DE0"/>
  </w:style>
  <w:style w:type="character" w:styleId="Hyperlink">
    <w:name w:val="Hyperlink"/>
    <w:basedOn w:val="DefaultParagraphFont"/>
    <w:rsid w:val="00413DE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23D2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530/oj" TargetMode="External" /><Relationship Id="rId2" Type="http://schemas.openxmlformats.org/officeDocument/2006/relationships/hyperlink" Target="http://data.europa.eu/eli/C/2025/315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2838</Words>
  <Characters>19238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2026-06-18T12:36:00Z</dcterms:created>
  <dcterms:modified xsi:type="dcterms:W3CDTF">2026-06-18T12:36:00Z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B10-0304/2026</vt:lpwstr>
  </property>
  <property fmtid="{D5CDD505-2E9C-101B-9397-08002B2CF9AE}" pid="4" name="&lt;Type&gt;">
    <vt:lpwstr>RR</vt:lpwstr>
  </property>
</Properties>
</file>