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3DD04697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64422" w:rsidP="0010095E" w14:paraId="123BD302" w14:textId="77777777">
            <w:pPr>
              <w:pStyle w:val="EPName"/>
            </w:pPr>
            <w:r w:rsidRPr="00364422">
              <w:t>Parlamento Europeu</w:t>
            </w:r>
          </w:p>
          <w:p w:rsidR="00751A4A" w:rsidRPr="00364422" w:rsidP="005F1B17" w14:paraId="1C1ABE95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64422">
              <w:t>2024</w:t>
            </w:r>
            <w:r w:rsidRPr="00364422" w:rsidR="00817416">
              <w:t>-202</w:t>
            </w:r>
            <w:r w:rsidRPr="00364422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364422" w:rsidP="0010095E" w14:paraId="490E1F36" w14:textId="77777777">
            <w:pPr>
              <w:pStyle w:val="EPLogo"/>
            </w:pPr>
            <w:r w:rsidRPr="00364422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64422" w:rsidP="004C5D52" w14:paraId="7A30DEE0" w14:textId="77777777">
      <w:pPr>
        <w:pStyle w:val="LineTop"/>
      </w:pPr>
    </w:p>
    <w:p w:rsidR="00680577" w:rsidRPr="00364422" w:rsidP="00680577" w14:paraId="3FE33747" w14:textId="77777777">
      <w:pPr>
        <w:pStyle w:val="EPBodyTA1"/>
      </w:pPr>
      <w:r w:rsidRPr="00364422">
        <w:t>TEXTOS APROVADOS</w:t>
      </w:r>
    </w:p>
    <w:p w:rsidR="00D058B8" w:rsidRPr="00364422" w:rsidP="00D058B8" w14:paraId="0ACC7B09" w14:textId="77777777">
      <w:pPr>
        <w:pStyle w:val="LineBottom"/>
      </w:pPr>
    </w:p>
    <w:p w:rsidR="00920A45" w:rsidRPr="00364422" w:rsidP="00920A45" w14:paraId="6198AC62" w14:textId="2A5B07D5">
      <w:pPr>
        <w:pStyle w:val="ATHeading1"/>
      </w:pPr>
      <w:bookmarkStart w:id="0" w:name="TANumber"/>
      <w:r w:rsidRPr="00364422">
        <w:t>P10_TA(2026)0</w:t>
      </w:r>
      <w:r w:rsidRPr="00364422" w:rsidR="006D19AC">
        <w:t>231</w:t>
      </w:r>
      <w:bookmarkEnd w:id="0"/>
    </w:p>
    <w:p w:rsidR="00920A45" w:rsidRPr="00364422" w:rsidP="00920A45" w14:paraId="391A1A92" w14:textId="77777777">
      <w:pPr>
        <w:pStyle w:val="ATHeading2"/>
      </w:pPr>
      <w:bookmarkStart w:id="1" w:name="title"/>
      <w:r w:rsidRPr="00364422">
        <w:t xml:space="preserve">As provocações inaceitáveis da Rússia e as incursões de </w:t>
      </w:r>
      <w:r w:rsidRPr="00364422">
        <w:t>drones</w:t>
      </w:r>
      <w:r w:rsidRPr="00364422">
        <w:t xml:space="preserve"> na Roménia, nos Estados bálticos e na Finlândia</w:t>
      </w:r>
      <w:bookmarkEnd w:id="1"/>
    </w:p>
    <w:p w:rsidR="00920A45" w:rsidRPr="00364422" w:rsidP="00920A45" w14:paraId="397A2D41" w14:textId="77777777">
      <w:pPr>
        <w:rPr>
          <w:i/>
          <w:vanish/>
        </w:rPr>
      </w:pPr>
      <w:r>
        <w:rPr>
          <w:i/>
        </w:rPr>
        <w:fldChar w:fldCharType="begin"/>
      </w:r>
      <w:r w:rsidRPr="00364422">
        <w:rPr>
          <w:i/>
        </w:rPr>
        <w:instrText xml:space="preserve"> TC"(</w:instrText>
      </w:r>
      <w:bookmarkStart w:id="2" w:name="DocNumber"/>
      <w:r w:rsidRPr="00364422">
        <w:rPr>
          <w:i/>
        </w:rPr>
        <w:instrText>B10-0304, 0307, 0308, 0309 e 0311/2026</w:instrText>
      </w:r>
      <w:bookmarkEnd w:id="2"/>
      <w:r w:rsidRPr="00364422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920A45" w:rsidRPr="00364422" w:rsidP="00920A45" w14:paraId="1F26E4C4" w14:textId="77777777">
      <w:pPr>
        <w:rPr>
          <w:vanish/>
        </w:rPr>
      </w:pPr>
      <w:bookmarkStart w:id="3" w:name="PE"/>
      <w:r w:rsidRPr="00364422">
        <w:rPr>
          <w:vanish/>
        </w:rPr>
        <w:t>PE783.361</w:t>
      </w:r>
      <w:bookmarkEnd w:id="3"/>
    </w:p>
    <w:p w:rsidR="00920A45" w:rsidRPr="00364422" w:rsidP="00920A45" w14:paraId="02907503" w14:textId="17D8D29C">
      <w:pPr>
        <w:pStyle w:val="ATHeading3"/>
      </w:pPr>
      <w:bookmarkStart w:id="4" w:name="Sujet"/>
      <w:r w:rsidRPr="00364422">
        <w:t xml:space="preserve">Resolução do Parlamento Europeu, de </w:t>
      </w:r>
      <w:r w:rsidRPr="00364422" w:rsidR="00FA3170">
        <w:t>18</w:t>
      </w:r>
      <w:r w:rsidRPr="00364422">
        <w:t xml:space="preserve"> de </w:t>
      </w:r>
      <w:r w:rsidRPr="00364422" w:rsidR="00FA3170">
        <w:t>junho</w:t>
      </w:r>
      <w:r w:rsidRPr="00364422">
        <w:t xml:space="preserve"> de 2026, sobre as provocações inaceitáveis da Rússia e as incursões de </w:t>
      </w:r>
      <w:r w:rsidRPr="00364422">
        <w:t>drones</w:t>
      </w:r>
      <w:r w:rsidRPr="00364422">
        <w:t xml:space="preserve"> na Roménia, nos Estados bálticos e na Finlândia</w:t>
      </w:r>
      <w:bookmarkEnd w:id="4"/>
      <w:r w:rsidRPr="00364422">
        <w:t xml:space="preserve"> </w:t>
      </w:r>
      <w:bookmarkStart w:id="5" w:name="References"/>
      <w:r w:rsidRPr="00364422">
        <w:t>(2026/2772(RSP))</w:t>
      </w:r>
      <w:bookmarkEnd w:id="5"/>
    </w:p>
    <w:p w:rsidR="00C93700" w:rsidRPr="00364422" w:rsidP="00C93700" w14:paraId="7700CD90" w14:textId="77777777">
      <w:pPr>
        <w:pStyle w:val="EPComma"/>
      </w:pPr>
      <w:bookmarkStart w:id="6" w:name="TextBodyBegin"/>
      <w:bookmarkEnd w:id="6"/>
      <w:r w:rsidRPr="00364422">
        <w:rPr>
          <w:i/>
        </w:rPr>
        <w:t>O Parlamento Europeu</w:t>
      </w:r>
      <w:r w:rsidRPr="00364422">
        <w:t>,</w:t>
      </w:r>
    </w:p>
    <w:p w:rsidR="00C93700" w:rsidRPr="00364422" w:rsidP="00C93700" w14:paraId="74DB0D10" w14:textId="77777777">
      <w:pPr>
        <w:pStyle w:val="NormalHanging12a"/>
      </w:pPr>
      <w:r w:rsidRPr="00364422">
        <w:t>–</w:t>
      </w:r>
      <w:r w:rsidRPr="00364422">
        <w:tab/>
        <w:t>Tendo em conta as suas anteriores resoluções sobre a Rússia e a Ucrânia, designadamente a de 9 de outubro de 2025 sobre uma resposta unida às recentes violações, por parte da Rússia, do espaço aéreo e de infraestruturas críticas de Estados</w:t>
      </w:r>
      <w:r w:rsidRPr="00364422">
        <w:noBreakHyphen/>
        <w:t>Membros da UE</w:t>
      </w:r>
      <w:r>
        <w:rPr>
          <w:rStyle w:val="FootnoteReference"/>
        </w:rPr>
        <w:footnoteReference w:id="2"/>
      </w:r>
      <w:r w:rsidRPr="00364422">
        <w:t>,</w:t>
      </w:r>
    </w:p>
    <w:p w:rsidR="00C93700" w:rsidRPr="00364422" w:rsidP="00C93700" w14:paraId="1291137B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364422">
        <w:t>–</w:t>
      </w:r>
      <w:r w:rsidRPr="00364422">
        <w:tab/>
        <w:t>Tendo em conta a Carta das Nações Unidas e os princípios basilares do direito internacional,</w:t>
      </w:r>
    </w:p>
    <w:p w:rsidR="00C93700" w:rsidRPr="00364422" w:rsidP="00C93700" w14:paraId="62A5021D" w14:textId="0DC855CE">
      <w:pPr>
        <w:pStyle w:val="NormalHanging12a"/>
        <w:rPr>
          <w:rFonts w:eastAsia="Aptos"/>
          <w:kern w:val="2"/>
          <w14:ligatures w14:val="standardContextual"/>
        </w:rPr>
      </w:pPr>
      <w:r w:rsidRPr="00364422">
        <w:t>–</w:t>
      </w:r>
      <w:r w:rsidRPr="00364422">
        <w:tab/>
        <w:t>Tendo em conta o Tratado da União Europeia (TUE) e, em particular, o artigo 24.º, n.º</w:t>
      </w:r>
      <w:r w:rsidRPr="00364422" w:rsidR="0099665F">
        <w:t> </w:t>
      </w:r>
      <w:r w:rsidRPr="00364422">
        <w:t>3, o artigo 42.º, n.º 7, e o artigo 222.º,</w:t>
      </w:r>
    </w:p>
    <w:p w:rsidR="00C93700" w:rsidRPr="00364422" w:rsidP="00C93700" w14:paraId="6F4F07B8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364422">
        <w:t>–</w:t>
      </w:r>
      <w:r w:rsidRPr="00364422">
        <w:tab/>
        <w:t>Tendo em conta o Tratado do Atlântico Norte, de 4 de abril de 1949, nomeadamente os seus artigos 4.º e 5.º,</w:t>
      </w:r>
    </w:p>
    <w:p w:rsidR="00C93700" w:rsidRPr="00364422" w:rsidP="00C93700" w14:paraId="45E82158" w14:textId="77777777">
      <w:pPr>
        <w:pStyle w:val="NormalHanging12a"/>
      </w:pPr>
      <w:r w:rsidRPr="00364422">
        <w:t>–</w:t>
      </w:r>
      <w:r w:rsidRPr="00364422">
        <w:tab/>
        <w:t>Tendo em conta a Comunicação conjunta da Comissão e da alta representante da União para os Negócios Estrangeiros e a Política de Segurança, de 19 de março de 2025, intitulada «Livro Branco Conjunto — Preparação da defesa europeia 2030» (JOIN(2025)0120) e a sua resolução de 12 de março de 2025 sobre o mesmo tema</w:t>
      </w:r>
      <w:r>
        <w:rPr>
          <w:rStyle w:val="FootnoteReference"/>
        </w:rPr>
        <w:footnoteReference w:id="3"/>
      </w:r>
      <w:r w:rsidRPr="00364422">
        <w:t>,</w:t>
      </w:r>
    </w:p>
    <w:p w:rsidR="00C93700" w:rsidRPr="00364422" w:rsidP="00C93700" w14:paraId="7553FE6A" w14:textId="18E0707E">
      <w:pPr>
        <w:pStyle w:val="NormalHanging12a"/>
        <w:rPr>
          <w:rFonts w:eastAsia="Aptos"/>
          <w:kern w:val="2"/>
          <w14:ligatures w14:val="standardContextual"/>
        </w:rPr>
      </w:pPr>
      <w:r w:rsidRPr="00364422">
        <w:t>–</w:t>
      </w:r>
      <w:r w:rsidRPr="00364422">
        <w:tab/>
        <w:t xml:space="preserve">Tendo em conta a Comunicação conjunta da Comissão e da </w:t>
      </w:r>
      <w:r w:rsidRPr="00364422" w:rsidR="0099665F">
        <w:t>A</w:t>
      </w:r>
      <w:r w:rsidRPr="00364422">
        <w:t xml:space="preserve">lta </w:t>
      </w:r>
      <w:r w:rsidRPr="00364422" w:rsidR="0099665F">
        <w:t>R</w:t>
      </w:r>
      <w:r w:rsidRPr="00364422">
        <w:t>epresentante da União para os Negócios Estrangeiros e a Política de Segurança, de 16 de outubro de 2025, intitulada «Preservar a Paz — Roteiro sobre a Prontidão no domínio da Defesa 2030» (JOIN(2025)0027),</w:t>
      </w:r>
    </w:p>
    <w:p w:rsidR="00C93700" w:rsidRPr="00364422" w:rsidP="00C93700" w14:paraId="3254135B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364422">
        <w:t>–</w:t>
      </w:r>
      <w:r w:rsidRPr="00364422">
        <w:tab/>
        <w:t>Tendo em conta as Conclusões do Conselho Europeu, de 19 de março de 2026, sobre o apoio continuado da UE à Ucrânia,</w:t>
      </w:r>
    </w:p>
    <w:p w:rsidR="00C93700" w:rsidRPr="00364422" w:rsidP="00C93700" w14:paraId="5E7764CC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364422">
        <w:t>–</w:t>
      </w:r>
      <w:r w:rsidRPr="00364422">
        <w:tab/>
        <w:t xml:space="preserve">Tendo em conta as declarações proferidas pela presidente da Comissão, </w:t>
      </w:r>
      <w:r w:rsidRPr="00364422">
        <w:t>Ursula</w:t>
      </w:r>
      <w:r w:rsidRPr="00364422">
        <w:t xml:space="preserve"> von der </w:t>
      </w:r>
      <w:r w:rsidRPr="00364422">
        <w:t>Leyen</w:t>
      </w:r>
      <w:r w:rsidRPr="00364422">
        <w:t>, em 20 de maio de 2026, sobre as ameaças russas contra os Estados bálticos,</w:t>
      </w:r>
    </w:p>
    <w:p w:rsidR="00C93700" w:rsidRPr="00364422" w:rsidP="00C93700" w14:paraId="2562BEAD" w14:textId="0030BB34">
      <w:pPr>
        <w:pStyle w:val="NormalHanging12a"/>
        <w:rPr>
          <w:rFonts w:eastAsia="Aptos"/>
          <w:kern w:val="2"/>
          <w14:ligatures w14:val="standardContextual"/>
        </w:rPr>
      </w:pPr>
      <w:r w:rsidRPr="00364422">
        <w:t>–</w:t>
      </w:r>
      <w:r w:rsidRPr="00364422">
        <w:tab/>
        <w:t xml:space="preserve">Tendo em conta a declaração proferida pela </w:t>
      </w:r>
      <w:r w:rsidRPr="00364422" w:rsidR="0099665F">
        <w:t>V</w:t>
      </w:r>
      <w:r w:rsidRPr="00364422">
        <w:t>ice</w:t>
      </w:r>
      <w:r w:rsidRPr="00364422">
        <w:noBreakHyphen/>
      </w:r>
      <w:r w:rsidRPr="00364422" w:rsidR="0099665F">
        <w:t>P</w:t>
      </w:r>
      <w:r w:rsidRPr="00364422">
        <w:t>residente da Comissão/</w:t>
      </w:r>
      <w:r w:rsidRPr="00364422" w:rsidR="0099665F">
        <w:t>A</w:t>
      </w:r>
      <w:r w:rsidRPr="00364422">
        <w:t xml:space="preserve">lta </w:t>
      </w:r>
      <w:r w:rsidRPr="00364422" w:rsidR="0099665F">
        <w:t>R</w:t>
      </w:r>
      <w:r w:rsidRPr="00364422">
        <w:t xml:space="preserve">epresentante da União para os Negócios Estrangeiros e a Política de Segurança, </w:t>
      </w:r>
      <w:r w:rsidRPr="00364422">
        <w:t>Kaja</w:t>
      </w:r>
      <w:r w:rsidRPr="00364422">
        <w:t xml:space="preserve"> </w:t>
      </w:r>
      <w:r w:rsidRPr="00364422">
        <w:t>Kallas</w:t>
      </w:r>
      <w:r w:rsidRPr="00364422">
        <w:t>, de 29 de maio de 2026, na qual condena a violação temerária do espaço aéreo da UE pela Rússia,</w:t>
      </w:r>
    </w:p>
    <w:p w:rsidR="00C93700" w:rsidRPr="00364422" w:rsidP="00C93700" w14:paraId="5839C126" w14:textId="77777777">
      <w:pPr>
        <w:pStyle w:val="NormalHanging12a"/>
      </w:pPr>
      <w:r w:rsidRPr="00364422">
        <w:t>–</w:t>
      </w:r>
      <w:r w:rsidRPr="00364422">
        <w:tab/>
        <w:t>Tendo em conta o artigo 136.º, n.</w:t>
      </w:r>
      <w:r w:rsidRPr="00364422">
        <w:rPr>
          <w:vertAlign w:val="superscript"/>
        </w:rPr>
        <w:t>os</w:t>
      </w:r>
      <w:r w:rsidRPr="00364422">
        <w:t xml:space="preserve"> 2 e 4, do seu Regimento,</w:t>
      </w:r>
    </w:p>
    <w:p w:rsidR="00C93700" w:rsidRPr="00364422" w:rsidP="00C93700" w14:paraId="3AB3A187" w14:textId="688A5769">
      <w:pPr>
        <w:pStyle w:val="NormalHanging12a"/>
      </w:pPr>
      <w:r w:rsidRPr="00364422">
        <w:t>A.</w:t>
      </w:r>
      <w:r w:rsidRPr="00364422">
        <w:tab/>
        <w:t xml:space="preserve">Considerando que, há mais de quatro anos, a Rússia deu início a uma guerra de agressão em larga escala, ilegal, não provocada e injustificada contra a Ucrânia, no seguimento da sua anexação da Crimeia e da ocupação de partes da região do </w:t>
      </w:r>
      <w:r w:rsidRPr="00364422">
        <w:t>Dombás</w:t>
      </w:r>
      <w:r w:rsidRPr="00364422">
        <w:t xml:space="preserve"> em 2014, em flagrante violação do direito internacional e da soberania territorial da Ucrânia</w:t>
      </w:r>
      <w:r w:rsidRPr="00364422" w:rsidR="0099665F">
        <w:t>; considerando que</w:t>
      </w:r>
      <w:r w:rsidRPr="00364422">
        <w:t xml:space="preserve"> se têm verificado incursões no espaço aéreo da UE e da NATO, causadas pela Rússia, desde o início da invasão em grande escala da Ucrânia pela Rússia, mas cuja frequência e intensidade aumentaram recentemente;</w:t>
      </w:r>
    </w:p>
    <w:p w:rsidR="00C93700" w:rsidRPr="00364422" w:rsidP="00C93700" w14:paraId="18487FE7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364422">
        <w:t>B.</w:t>
      </w:r>
      <w:r w:rsidRPr="00364422">
        <w:tab/>
        <w:t>Considerando que o reforço militar da Rússia ao longo do flanco oriental da UE está em curso e inclui também o território da Bielorrússia, que é cúmplice na guerra de agressão da Rússia contra a Ucrânia e de ataques híbridos contra a UE, nomeadamente através da sua instrumentalização da migração irregular, do crime organizado, bem como do lançamento de balões meteorológicos, que representam graves ameaças à segurança, incluindo a perturbação constante da aviação civil, as operações que visam aterrorizar países que fazem fronteira com a Bielorrússia, como a Letónia, a Lituânia e a Polónia, e danos nas economias locais;</w:t>
      </w:r>
    </w:p>
    <w:p w:rsidR="00C93700" w:rsidRPr="00364422" w:rsidP="00C93700" w14:paraId="305F7BD0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364422">
        <w:t>C.</w:t>
      </w:r>
      <w:r w:rsidRPr="00364422">
        <w:tab/>
        <w:t>Considerando que a Estónia, a Finlândia, a Letónia, a Lituânia, a Roménia e outros Estados</w:t>
      </w:r>
      <w:r w:rsidRPr="00364422">
        <w:noBreakHyphen/>
        <w:t xml:space="preserve">Membros foram alvo de tentativas de desestabilização por parte da Rússia, que assumem a forma de incursões de </w:t>
      </w:r>
      <w:r w:rsidRPr="00364422">
        <w:t>drones</w:t>
      </w:r>
      <w:r w:rsidRPr="00364422">
        <w:t xml:space="preserve"> e violações do espaço aéreo, de propaganda e desinformação, de guerra eletrónica, de interferências no sistema mundial de navegação por satélite (GNSS), de ciberataques e atos de sabotagem;</w:t>
      </w:r>
    </w:p>
    <w:p w:rsidR="00C93700" w:rsidRPr="00364422" w:rsidP="00C93700" w14:paraId="5A1DAB8F" w14:textId="55CDAE19">
      <w:pPr>
        <w:pStyle w:val="NormalHanging12a"/>
      </w:pPr>
      <w:r w:rsidRPr="00364422">
        <w:t>D.</w:t>
      </w:r>
      <w:r w:rsidRPr="00364422">
        <w:tab/>
        <w:t xml:space="preserve">Considerando que, em 29 de maio de 2026, um </w:t>
      </w:r>
      <w:r w:rsidRPr="00364422">
        <w:t>drone</w:t>
      </w:r>
      <w:r w:rsidRPr="00364422">
        <w:t xml:space="preserve"> russo se despenhou contra um edifício residencial em </w:t>
      </w:r>
      <w:r w:rsidRPr="00364422">
        <w:t>Galați</w:t>
      </w:r>
      <w:r w:rsidRPr="00364422">
        <w:t>, na Roménia, provocando uma explosão que feriu duas pessoas</w:t>
      </w:r>
      <w:r w:rsidRPr="00364422" w:rsidR="0099665F">
        <w:t>; considerando que</w:t>
      </w:r>
      <w:r w:rsidRPr="00364422">
        <w:t xml:space="preserve"> se tratou do primeiro incidente deste género no território de um Estado</w:t>
      </w:r>
      <w:r w:rsidRPr="00364422">
        <w:noBreakHyphen/>
        <w:t>Membro da UE e pertencente à NATO que redundou em lesões que obrigaram a tratamento médico</w:t>
      </w:r>
      <w:r w:rsidRPr="00364422" w:rsidR="0099665F">
        <w:t>; considerando que</w:t>
      </w:r>
      <w:r w:rsidRPr="00364422">
        <w:t xml:space="preserve"> mais de 70 pessoas tiveram de ser transferidas;</w:t>
      </w:r>
    </w:p>
    <w:p w:rsidR="00C93700" w:rsidRPr="00364422" w:rsidP="00C93700" w14:paraId="3F4B745A" w14:textId="2DEBB018">
      <w:pPr>
        <w:pStyle w:val="NormalHanging12a"/>
        <w:rPr>
          <w:rFonts w:eastAsia="Aptos"/>
          <w:kern w:val="2"/>
          <w14:ligatures w14:val="standardContextual"/>
        </w:rPr>
      </w:pPr>
      <w:r w:rsidRPr="00364422">
        <w:t>E.</w:t>
      </w:r>
      <w:r w:rsidRPr="00364422">
        <w:tab/>
        <w:t xml:space="preserve">Considerando que, em 19 de maio de 2026, um </w:t>
      </w:r>
      <w:r w:rsidRPr="00364422">
        <w:t>drone</w:t>
      </w:r>
      <w:r w:rsidRPr="00364422">
        <w:t xml:space="preserve"> intrusivo que voava no espaço aéreo estónio foi abatido por um avião de combate romeno que participava na missão de policiamento aéreo da NATO no Báltico</w:t>
      </w:r>
      <w:r w:rsidRPr="00364422" w:rsidR="0099665F">
        <w:t>; considerando que</w:t>
      </w:r>
      <w:r w:rsidRPr="00364422">
        <w:t xml:space="preserve">, em 20 de maio de 2026, a incursão de um </w:t>
      </w:r>
      <w:r w:rsidRPr="00364422">
        <w:t>drone</w:t>
      </w:r>
      <w:r w:rsidRPr="00364422">
        <w:t xml:space="preserve"> não identificado no espaço aéreo lituano forçou as autoridades a emitirem um alerta antiaéreo sem precedentes, obrigando os civis a procurar abrigo</w:t>
      </w:r>
      <w:r w:rsidRPr="00364422" w:rsidR="0099665F">
        <w:t>; considerando que</w:t>
      </w:r>
      <w:r w:rsidRPr="00364422">
        <w:t xml:space="preserve">, em 8 de junho de 2026, aviões de combate franceses da NATO, que participavam numa missão desta organização, abateram </w:t>
      </w:r>
      <w:r w:rsidRPr="00364422">
        <w:t>drones</w:t>
      </w:r>
      <w:r w:rsidRPr="00364422">
        <w:t xml:space="preserve"> que sobrevoavam a Letónia</w:t>
      </w:r>
      <w:r w:rsidRPr="00364422" w:rsidR="0099665F">
        <w:t>; considerando que</w:t>
      </w:r>
      <w:r w:rsidRPr="00364422">
        <w:t xml:space="preserve"> estas incursões de </w:t>
      </w:r>
      <w:r w:rsidRPr="00364422">
        <w:t>drones</w:t>
      </w:r>
      <w:r w:rsidRPr="00364422">
        <w:t xml:space="preserve"> são uma consequência direta da guerra de agressão da Rússia contra a Ucrânia, tendo a maioria entrado no espaço aéreo da UE em resultado da guerra eletrónica levada a cabo pela Rússia</w:t>
      </w:r>
      <w:r w:rsidRPr="00364422" w:rsidR="0099665F">
        <w:t>; considerando que</w:t>
      </w:r>
      <w:r w:rsidRPr="00364422">
        <w:t xml:space="preserve">, em março de 2026, devido à interferência dos sistemas russos de guerra eletrónica, pelo menos três </w:t>
      </w:r>
      <w:r w:rsidRPr="00364422">
        <w:t>drones</w:t>
      </w:r>
      <w:r w:rsidRPr="00364422">
        <w:t xml:space="preserve"> ucranianos foram desviados da trajetória prevista, tendo entrado e </w:t>
      </w:r>
      <w:r w:rsidRPr="00364422">
        <w:t>caído em território finlandês;</w:t>
      </w:r>
    </w:p>
    <w:p w:rsidR="00C93700" w:rsidRPr="00364422" w:rsidP="00C93700" w14:paraId="4CBB6DA5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364422">
        <w:t>F.</w:t>
      </w:r>
      <w:r w:rsidRPr="00364422">
        <w:tab/>
        <w:t xml:space="preserve">Considerando que, em 29 de maio de 2026, um </w:t>
      </w:r>
      <w:r w:rsidRPr="00364422">
        <w:t>drone</w:t>
      </w:r>
      <w:r w:rsidRPr="00364422">
        <w:t xml:space="preserve"> naval ucraniano explodiu no porto romeno de Constança em resultado de medidas de guerra eletrónica utilizadas pela Federação da Rússia, causando danos materiais, mas sem provocar vítimas humanas;</w:t>
      </w:r>
    </w:p>
    <w:p w:rsidR="00C93700" w:rsidRPr="00364422" w:rsidP="00C93700" w14:paraId="4D6A41AF" w14:textId="1796C519">
      <w:pPr>
        <w:pStyle w:val="NormalHanging12a"/>
        <w:rPr>
          <w:spacing w:val="-2"/>
        </w:rPr>
      </w:pPr>
      <w:r w:rsidRPr="00364422">
        <w:t>G.</w:t>
      </w:r>
      <w:r w:rsidRPr="00364422">
        <w:tab/>
        <w:t xml:space="preserve">Considerando que, em 7 de maio de 2026, dois </w:t>
      </w:r>
      <w:r w:rsidRPr="00364422">
        <w:t>drones</w:t>
      </w:r>
      <w:r w:rsidRPr="00364422">
        <w:t xml:space="preserve"> ucranianos, empastelados por sistemas de guerra eletrónica russos, atingiram um depósito de combustível em </w:t>
      </w:r>
      <w:r w:rsidRPr="00364422">
        <w:t>Rēzekne</w:t>
      </w:r>
      <w:r w:rsidRPr="00364422">
        <w:t>, na Letónia</w:t>
      </w:r>
      <w:r w:rsidRPr="00364422" w:rsidR="0099665F">
        <w:t xml:space="preserve">; </w:t>
      </w:r>
    </w:p>
    <w:p w:rsidR="00C93700" w:rsidRPr="00364422" w:rsidP="00C93700" w14:paraId="0066C240" w14:textId="3C926153">
      <w:pPr>
        <w:pStyle w:val="NormalHanging12a"/>
        <w:rPr>
          <w:rFonts w:eastAsia="Aptos"/>
          <w:kern w:val="2"/>
          <w14:ligatures w14:val="standardContextual"/>
        </w:rPr>
      </w:pPr>
      <w:r w:rsidRPr="00364422">
        <w:t>H.</w:t>
      </w:r>
      <w:r w:rsidRPr="00364422">
        <w:tab/>
        <w:t xml:space="preserve">Considerando que a região do mar Báltico concentra um elevado número de infraestruturas críticas, incluindo redes submarinas de energia e telecomunicações, ligações de transporte e outros ativos estratégicos, o que a torna particularmente vulnerável a ataques híbridos, atos de sabotagem e ameaças relacionadas com </w:t>
      </w:r>
      <w:r w:rsidRPr="00364422">
        <w:t>drones</w:t>
      </w:r>
      <w:r w:rsidRPr="00364422" w:rsidR="0099665F">
        <w:t>; considerando que</w:t>
      </w:r>
      <w:r w:rsidRPr="00364422">
        <w:t xml:space="preserve"> a proteção das infraestruturas críticas requer tanto o seu robustecimento físico como o aumento da redundância e da descentralização, tal como ficou patente nos ensinamentos retirados dos ataques da Rússia contra infraestruturas ucranianas;</w:t>
      </w:r>
    </w:p>
    <w:p w:rsidR="00C93700" w:rsidRPr="00364422" w:rsidP="00C93700" w14:paraId="0136C567" w14:textId="77777777">
      <w:pPr>
        <w:pStyle w:val="NormalHanging12a"/>
      </w:pPr>
      <w:r w:rsidRPr="00364422">
        <w:t>I.</w:t>
      </w:r>
      <w:r w:rsidRPr="00364422">
        <w:tab/>
      </w:r>
      <w:r w:rsidRPr="00364422">
        <w:rPr>
          <w:rStyle w:val="normaltextrun"/>
          <w:color w:val="000000"/>
        </w:rPr>
        <w:t xml:space="preserve">Considerando que o desmantelamento da central nuclear de </w:t>
      </w:r>
      <w:r w:rsidRPr="00364422">
        <w:rPr>
          <w:rStyle w:val="normaltextrun"/>
          <w:color w:val="000000"/>
        </w:rPr>
        <w:t>Ignalina</w:t>
      </w:r>
      <w:r w:rsidRPr="00364422">
        <w:rPr>
          <w:rStyle w:val="normaltextrun"/>
          <w:color w:val="000000"/>
        </w:rPr>
        <w:t xml:space="preserve"> na Lituânia representa uma ameaça importante para a segurança regional e o meio ambiente devido à presença de grandes volumes de combustível nuclear irradiado e de resíduos radioativos armazenados em instalações temporárias à superfície, e que qualquer acidente ou provocação deliberada que tenha como alvo esta infraestrutura crítica poderá ter consequências graves para toda a região do Báltico e mais além</w:t>
      </w:r>
      <w:r w:rsidRPr="00364422">
        <w:t>;</w:t>
      </w:r>
    </w:p>
    <w:p w:rsidR="00C93700" w:rsidRPr="00364422" w:rsidP="00C93700" w14:paraId="2D3FC415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364422">
        <w:t>J.</w:t>
      </w:r>
      <w:r w:rsidRPr="00364422">
        <w:tab/>
        <w:t>Considerando que se registaram outros incidentes graves nos quais a Rússia é suspeita de violações do espaço aéreo dos Estados</w:t>
      </w:r>
      <w:r w:rsidRPr="00364422">
        <w:noBreakHyphen/>
        <w:t>Membros da UE;</w:t>
      </w:r>
    </w:p>
    <w:p w:rsidR="00C93700" w:rsidRPr="00364422" w:rsidP="00C93700" w14:paraId="02521C4E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364422">
        <w:t>K.</w:t>
      </w:r>
      <w:r w:rsidRPr="00364422">
        <w:tab/>
        <w:t>Considerando que a segurança e a proteção dos Estados</w:t>
      </w:r>
      <w:r w:rsidRPr="00364422">
        <w:noBreakHyphen/>
        <w:t xml:space="preserve">Membros da UE ao longo do seu flanco oriental constituem uma prioridade imediata e uma responsabilidade europeia conjunta, especialmente tendo em conta que os ataques híbridos estão a ser levados a cabo recorrendo a técnicas modernas de guerra com recurso a </w:t>
      </w:r>
      <w:r w:rsidRPr="00364422">
        <w:t>drones</w:t>
      </w:r>
      <w:r w:rsidRPr="00364422">
        <w:t>, um domínio em que a capacidade dos Estados</w:t>
      </w:r>
      <w:r w:rsidRPr="00364422">
        <w:noBreakHyphen/>
        <w:t>Membros da UE está longe de estar totalmente desenvolvida;</w:t>
      </w:r>
    </w:p>
    <w:p w:rsidR="00C93700" w:rsidRPr="00364422" w:rsidP="00C93700" w14:paraId="23149DC0" w14:textId="3392B225">
      <w:pPr>
        <w:pStyle w:val="NormalHanging12a"/>
        <w:rPr>
          <w:rFonts w:eastAsia="Aptos"/>
          <w:kern w:val="2"/>
          <w14:ligatures w14:val="standardContextual"/>
        </w:rPr>
      </w:pPr>
      <w:r w:rsidRPr="00364422">
        <w:t>L.</w:t>
      </w:r>
      <w:r w:rsidRPr="00364422">
        <w:tab/>
        <w:t xml:space="preserve">Considerando que os incidentes com </w:t>
      </w:r>
      <w:r w:rsidRPr="00364422">
        <w:t>drones</w:t>
      </w:r>
      <w:r w:rsidRPr="00364422">
        <w:t xml:space="preserve"> no flanco oriental da UE puseram a descoberto lacunas importantes na preparação militar e civil</w:t>
      </w:r>
      <w:r w:rsidRPr="00364422" w:rsidR="0099665F">
        <w:t>; considerando que</w:t>
      </w:r>
      <w:r w:rsidRPr="00364422">
        <w:t xml:space="preserve"> os sistemas de radar existentes se revelam muitas vezes incapazes de detetar objetos a baixa altitude, que os métodos escolhidos para a interceção de veículos aéreos não tripulados são economicamente ineficientes e que os relatos de incidentes revelaram que alguns abrigos antiaéreos estavam fechados à chave ou eram inacessíveis ao público</w:t>
      </w:r>
      <w:r w:rsidRPr="00364422" w:rsidR="0099665F">
        <w:t>; considerando que</w:t>
      </w:r>
      <w:r w:rsidRPr="00364422">
        <w:t xml:space="preserve"> estas falhas evidenciam vulnerabilidades sistémicas urgentes nos procedimentos de alerta e reação, bem como na resiliência geral da sociedade;</w:t>
      </w:r>
    </w:p>
    <w:p w:rsidR="00C93700" w:rsidRPr="00364422" w:rsidP="00C93700" w14:paraId="68F4982E" w14:textId="77777777">
      <w:pPr>
        <w:pStyle w:val="NormalHanging12a"/>
        <w:rPr>
          <w:rStyle w:val="normaltextrun"/>
          <w:rFonts w:eastAsia="Aptos"/>
          <w:color w:val="000000"/>
          <w:kern w:val="2"/>
          <w:szCs w:val="22"/>
          <w14:ligatures w14:val="standardContextual"/>
        </w:rPr>
      </w:pPr>
      <w:r w:rsidRPr="00364422">
        <w:rPr>
          <w:rStyle w:val="normaltextrun"/>
          <w:color w:val="000000"/>
        </w:rPr>
        <w:t>M.</w:t>
      </w:r>
      <w:r w:rsidRPr="00364422">
        <w:rPr>
          <w:rStyle w:val="normaltextrun"/>
          <w:color w:val="000000"/>
        </w:rPr>
        <w:tab/>
        <w:t>Considerando que, nos seus últimos ataques contra a Ucrânia, a Rússia provocou um incêndio</w:t>
      </w:r>
      <w:r w:rsidRPr="00364422">
        <w:t xml:space="preserve"> no mosteiro das Grutas de Kiev (</w:t>
      </w:r>
      <w:r w:rsidRPr="00364422">
        <w:t>Kyiv</w:t>
      </w:r>
      <w:r w:rsidRPr="00364422">
        <w:t xml:space="preserve"> </w:t>
      </w:r>
      <w:r w:rsidRPr="00364422">
        <w:t>Pechersk</w:t>
      </w:r>
      <w:r w:rsidRPr="00364422">
        <w:t xml:space="preserve"> Lavra), um mosteiro histórico do cristianismo oriental e património mundial da UNESCO, entre outros locais inestimáveis do património cultural;</w:t>
      </w:r>
    </w:p>
    <w:p w:rsidR="00C93700" w:rsidRPr="00364422" w:rsidP="00C93700" w14:paraId="0A7F0DDB" w14:textId="1DC9082A">
      <w:pPr>
        <w:pStyle w:val="NormalHanging12a"/>
      </w:pPr>
      <w:r w:rsidRPr="00364422">
        <w:t>N.</w:t>
      </w:r>
      <w:r w:rsidRPr="00364422">
        <w:tab/>
        <w:t xml:space="preserve">Considerando que estes recentes incidentes com </w:t>
      </w:r>
      <w:r w:rsidRPr="00364422">
        <w:t>drones</w:t>
      </w:r>
      <w:r w:rsidRPr="00364422">
        <w:t xml:space="preserve"> vêm expor a necessidade </w:t>
      </w:r>
      <w:r w:rsidRPr="00364422">
        <w:t xml:space="preserve">urgente de dispor de capacidades de defesa a vários níveis que integrem sistemas </w:t>
      </w:r>
      <w:r w:rsidRPr="00364422">
        <w:t>antiaeronaves</w:t>
      </w:r>
      <w:r w:rsidRPr="00364422">
        <w:t xml:space="preserve"> não tripuladas cinéticos e não cinéticos (C</w:t>
      </w:r>
      <w:r w:rsidRPr="00364422">
        <w:noBreakHyphen/>
        <w:t>UAS)</w:t>
      </w:r>
      <w:r w:rsidRPr="00364422" w:rsidR="0099665F">
        <w:t>; considerando que</w:t>
      </w:r>
      <w:r w:rsidRPr="00364422">
        <w:t xml:space="preserve"> os </w:t>
      </w:r>
      <w:r w:rsidRPr="00364422">
        <w:t>drones</w:t>
      </w:r>
      <w:r w:rsidRPr="00364422">
        <w:t xml:space="preserve"> se tornaram uma característica determinante da guerra moderna e dos conflitos híbridos e que a sua utilização na Ucrânia remodelou radicalmente os requisitos de defesa e as doutrinas operacionais em todo o continente;</w:t>
      </w:r>
    </w:p>
    <w:p w:rsidR="00C93700" w:rsidRPr="00364422" w:rsidP="00C93700" w14:paraId="474348AD" w14:textId="77777777">
      <w:pPr>
        <w:pStyle w:val="NormalHanging12a"/>
      </w:pPr>
      <w:r w:rsidRPr="00364422">
        <w:t>O.</w:t>
      </w:r>
      <w:r w:rsidRPr="00364422">
        <w:tab/>
        <w:t>Considerando que o Ártico e o Extremo Norte estão a tornar</w:t>
      </w:r>
      <w:r w:rsidRPr="00364422">
        <w:noBreakHyphen/>
        <w:t xml:space="preserve">se cada vez mais importantes para a segurança europeia, ao passo que a cobertura limitada dos sensores e a escassa presença permanente criam vulnerabilidades de que os intervenientes hostis podem procurar tirar partido por via de sistemas não tripulados e operações híbridas, aumentando assim o risco de incursões hostis de </w:t>
      </w:r>
      <w:r w:rsidRPr="00364422">
        <w:t>drones</w:t>
      </w:r>
      <w:r w:rsidRPr="00364422">
        <w:t xml:space="preserve"> no interior do território da UE;</w:t>
      </w:r>
    </w:p>
    <w:p w:rsidR="00C93700" w:rsidRPr="00364422" w:rsidP="00C93700" w14:paraId="7B47DE93" w14:textId="77777777">
      <w:pPr>
        <w:pStyle w:val="NormalHanging12a"/>
      </w:pPr>
      <w:r w:rsidRPr="00364422">
        <w:t>1.</w:t>
      </w:r>
      <w:r w:rsidRPr="00364422">
        <w:tab/>
        <w:t xml:space="preserve">Condena com firmeza as provocações inaceitáveis da Rússia e as incursões de </w:t>
      </w:r>
      <w:r w:rsidRPr="00364422">
        <w:t>drones</w:t>
      </w:r>
      <w:r w:rsidRPr="00364422">
        <w:t xml:space="preserve"> em Estados</w:t>
      </w:r>
      <w:r w:rsidRPr="00364422">
        <w:noBreakHyphen/>
        <w:t>Membros da UE;</w:t>
      </w:r>
    </w:p>
    <w:p w:rsidR="00C93700" w:rsidRPr="00364422" w:rsidP="00C93700" w14:paraId="0F32A36B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364422">
        <w:t>2.</w:t>
      </w:r>
      <w:r w:rsidRPr="00364422">
        <w:tab/>
        <w:t>Reafirma a sua total solidariedade para com a Estónia, a Finlândia, a Letónia, a Lituânia e a Roménia, cujo território, espaço aéreo ou infraestruturas críticas foram alvo de provocações híbridas por parte da Rússia; reafirma que a UE não se deixará intimidar pela campanha de desestabilização da Rússia e mantém</w:t>
      </w:r>
      <w:r w:rsidRPr="00364422">
        <w:noBreakHyphen/>
        <w:t>se unida na sua determinação em defender a segurança, a soberania e a integridade territorial de todos os Estados</w:t>
      </w:r>
      <w:r w:rsidRPr="00364422">
        <w:noBreakHyphen/>
        <w:t>Membros da UE e em continuar a apoiar a Ucrânia;</w:t>
      </w:r>
    </w:p>
    <w:p w:rsidR="00C93700" w:rsidRPr="00364422" w:rsidP="00C93700" w14:paraId="24B3F6A5" w14:textId="77777777">
      <w:pPr>
        <w:pStyle w:val="NormalHanging12a"/>
        <w:rPr>
          <w:rStyle w:val="normaltextrun"/>
          <w:rFonts w:eastAsia="Aptos"/>
          <w:color w:val="000000"/>
          <w:kern w:val="2"/>
          <w:szCs w:val="22"/>
          <w14:ligatures w14:val="standardContextual"/>
        </w:rPr>
      </w:pPr>
      <w:r w:rsidRPr="00364422">
        <w:rPr>
          <w:rStyle w:val="normaltextrun"/>
          <w:color w:val="000000"/>
        </w:rPr>
        <w:t>3.</w:t>
      </w:r>
      <w:r w:rsidRPr="00364422">
        <w:rPr>
          <w:rStyle w:val="normaltextrun"/>
          <w:color w:val="000000"/>
        </w:rPr>
        <w:tab/>
        <w:t>Reconhece a especial vulnerabilidade dos cidadãos das regiões fronteiriças da UE ao longo do flanco oriental, que estão mais expostos a ameaças graves e que, consequentemente, também arcam com custos económicos e sociais avultados, e aos quais expressa a sua total solidariedade; pugna pela adoção de medidas seletivas a nível da UE, notadamente apoio financeiro específico, para reforçar a proteção das comunidades e das infraestruturas críticas afetadas e garantir a prevenção, a preparação, a resiliência, a resposta a emergências e a reconstrução nestas regiões particularmente expostas;</w:t>
      </w:r>
    </w:p>
    <w:p w:rsidR="00C93700" w:rsidRPr="00364422" w:rsidP="00C93700" w14:paraId="2709E951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364422">
        <w:t>4.</w:t>
      </w:r>
      <w:r w:rsidRPr="00364422">
        <w:tab/>
        <w:t xml:space="preserve">Condena inequivocamente o ataque russo com </w:t>
      </w:r>
      <w:r w:rsidRPr="00364422">
        <w:t>drones</w:t>
      </w:r>
      <w:r w:rsidRPr="00364422">
        <w:t xml:space="preserve"> a um edifício residencial em </w:t>
      </w:r>
      <w:r w:rsidRPr="00364422">
        <w:t>Galați</w:t>
      </w:r>
      <w:r w:rsidRPr="00364422">
        <w:t xml:space="preserve">, na Roménia, que fez vítimas civis diretas e constitui uma escalada grave e preocupante; considera que as repetidas incursões de </w:t>
      </w:r>
      <w:r w:rsidRPr="00364422">
        <w:t>drones</w:t>
      </w:r>
      <w:r w:rsidRPr="00364422">
        <w:t xml:space="preserve"> e violações do espaço aéreo nos países da UE não são incidentes isolados, mas, sim, parte integrante da estratégia mais ampla da Rússia de intimidação dirigida contra a UE e os seus aliados;</w:t>
      </w:r>
    </w:p>
    <w:p w:rsidR="00C93700" w:rsidRPr="00364422" w:rsidP="00C93700" w14:paraId="424885F1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364422">
        <w:t>5.</w:t>
      </w:r>
      <w:r w:rsidRPr="00364422">
        <w:tab/>
      </w:r>
      <w:r w:rsidRPr="00364422">
        <w:rPr>
          <w:rStyle w:val="normaltextrun"/>
          <w:color w:val="000000"/>
        </w:rPr>
        <w:t>Declara que a Rússia é plena e inequivocamente responsável por estes ataques incautos, que têm uma intensidade cada vez maior e põem em perigo vidas humanas; reafirma que os atos da Federação da Rússia constituem uma ameaça deliberada, sistemática e contínua à segurança, à resiliência e à soberania da UE e dos seus Estados</w:t>
      </w:r>
      <w:r w:rsidRPr="00364422">
        <w:rPr>
          <w:rStyle w:val="normaltextrun"/>
          <w:color w:val="000000"/>
        </w:rPr>
        <w:noBreakHyphen/>
        <w:t xml:space="preserve">Membros; </w:t>
      </w:r>
      <w:r w:rsidRPr="00364422">
        <w:t>reitera a sua condenação, nos termos mais veementes possíveis, da guerra de agressão ilegal, não provocada e injustificada da Rússia contra a Ucrânia, bem como da cumplicidade da Bielorrússia nessa guerra; denuncia firmemente a decisão da Rússia de prosseguir a sua guerra de agressão, nomeadamente os seus mais recentes ataques seletivos a sítios do património cultural e ao mosteiro das Grutas de Kiev (</w:t>
      </w:r>
      <w:r w:rsidRPr="00364422">
        <w:t>Kyiv</w:t>
      </w:r>
      <w:r w:rsidRPr="00364422">
        <w:t xml:space="preserve"> </w:t>
      </w:r>
      <w:r w:rsidRPr="00364422">
        <w:t>Pechersk</w:t>
      </w:r>
      <w:r w:rsidRPr="00364422">
        <w:t xml:space="preserve"> Lavra), classificado como património mundial pela UNESCO, recusando simultaneamente quaisquer negociações diretas com a Ucrânia, como recentemente proposto pelo presidente ucraniano, </w:t>
      </w:r>
      <w:r w:rsidRPr="00364422">
        <w:t>Volodymyr</w:t>
      </w:r>
      <w:r w:rsidRPr="00364422">
        <w:t xml:space="preserve"> </w:t>
      </w:r>
      <w:r w:rsidRPr="00364422">
        <w:t>Zelenskyy</w:t>
      </w:r>
      <w:r w:rsidRPr="00364422">
        <w:t>;</w:t>
      </w:r>
    </w:p>
    <w:p w:rsidR="00C93700" w:rsidRPr="00364422" w:rsidP="00C93700" w14:paraId="73474D42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364422">
        <w:t>6.</w:t>
      </w:r>
      <w:r w:rsidRPr="00364422">
        <w:tab/>
        <w:t xml:space="preserve">Reitera a sua condenação do empastelamento deliberado pela Rússia dos sinais GNSS </w:t>
      </w:r>
      <w:r w:rsidRPr="00364422">
        <w:t>nas regiões do mar Báltico e do mar Negro e o lançamento deliberado pela Bielorrússia de balões meteorológicos, que representam graves riscos para a segurança da aviação civil e do transporte marítimo; condena, além disso, a Bielorrússia pelos seus ataques híbridos contra a UE;</w:t>
      </w:r>
    </w:p>
    <w:p w:rsidR="00C93700" w:rsidRPr="00364422" w:rsidP="00C93700" w14:paraId="116BCD99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364422">
        <w:t>7.</w:t>
      </w:r>
      <w:r w:rsidRPr="00364422">
        <w:tab/>
        <w:t xml:space="preserve">Reitera o seu apelo para que se acelere urgentemente a produção e a entrega de equipamento militar prioritário à Ucrânia, em particular sistemas de defesa aérea, munições, </w:t>
      </w:r>
      <w:r w:rsidRPr="00364422">
        <w:t>drones</w:t>
      </w:r>
      <w:r w:rsidRPr="00364422">
        <w:t xml:space="preserve"> e mísseis, num momento crítico em que as graves lacunas nas capacidades de defesa aérea deixam a população e as infraestruturas da Ucrânia cada vez mais expostas;</w:t>
      </w:r>
    </w:p>
    <w:p w:rsidR="00C93700" w:rsidRPr="00364422" w:rsidP="00C93700" w14:paraId="6FBB1A5B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364422">
        <w:t>8.</w:t>
      </w:r>
      <w:r w:rsidRPr="00364422">
        <w:tab/>
        <w:t xml:space="preserve">Salienta que estes atos hostis são agravados por uma campanha de desinformação agressiva que procura intimidar as populações locais, propagar o medo, prejudicar as economias locais e lançar as bases para eventuais ações de retaliação, como no caso de alegações infundadas da Rússia de que os Estados bálticos permitem que a Ucrânia utilize os seus territórios e espaço aéreo para ataques com </w:t>
      </w:r>
      <w:r w:rsidRPr="00364422">
        <w:t>drones</w:t>
      </w:r>
      <w:r w:rsidRPr="00364422">
        <w:t xml:space="preserve"> contra alvos na Rússia;</w:t>
      </w:r>
    </w:p>
    <w:p w:rsidR="00C93700" w:rsidRPr="00364422" w:rsidP="00C93700" w14:paraId="77EF029A" w14:textId="77777777">
      <w:pPr>
        <w:pStyle w:val="NormalHanging12a"/>
      </w:pPr>
      <w:r w:rsidRPr="00364422">
        <w:t>9.</w:t>
      </w:r>
      <w:r w:rsidRPr="00364422">
        <w:tab/>
        <w:t>Reitera o seu apelo à criação urgente de uma verdadeira União Europeia da Defesa, dotada de processos de tomada de decisão rápidos, que vá além dos quadros existentes, nomeadamente o Livro Branco Conjunto «Preparação da defesa europeia 2030» e o subsequente Roteiro sobre a Prontidão no domínio da Defesa 2030; salienta que uma maior integração, coordenação e partilha de recursos são indispensáveis para uma resposta eficaz da UE às ameaças crescentes da Rússia; solicita que a base tecnológica e industrial de defesa europeia e a sua capacidade de produção em toda a UE sejam melhoradas graças a uma coordenação reforçada a nível da UE, maximizando o recurso a iniciativas nacionais e aos instrumentos da UE;</w:t>
      </w:r>
    </w:p>
    <w:p w:rsidR="00C93700" w:rsidRPr="00364422" w:rsidP="00C93700" w14:paraId="2743BD5E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364422">
        <w:t>10.</w:t>
      </w:r>
      <w:r w:rsidRPr="00364422">
        <w:tab/>
        <w:t>Solicita que a cláusula de solidariedade (artigo 222.º do Tratado sobre o Funcionamento da União Europeia) e a cláusula de assistência mútua (artigo 42.º, n.º 7, do TUE) sejam mais aplicadas, nomeadamente nos casos em que um ataque convencional ou híbrido leve um Estado</w:t>
      </w:r>
      <w:r w:rsidRPr="00364422">
        <w:noBreakHyphen/>
        <w:t>Membro a invocar a sua aplicação;</w:t>
      </w:r>
    </w:p>
    <w:p w:rsidR="00C93700" w:rsidRPr="00364422" w:rsidP="00C93700" w14:paraId="6CC47685" w14:textId="77777777">
      <w:pPr>
        <w:pStyle w:val="NormalHanging12a"/>
      </w:pPr>
      <w:r w:rsidRPr="00364422">
        <w:t>11.</w:t>
      </w:r>
      <w:r w:rsidRPr="00364422">
        <w:tab/>
        <w:t>Salienta a necessidade de um reforço coerente do flanco oriental da UE e da NATO em toda a sua extensão, desde o Ártico até ao mar Negro, incluindo as dimensões terrestre, marítima e aérea, através da criação de capacidades nos Estados</w:t>
      </w:r>
      <w:r w:rsidRPr="00364422">
        <w:noBreakHyphen/>
        <w:t xml:space="preserve">Membros da primeira linha para combater os </w:t>
      </w:r>
      <w:r w:rsidRPr="00364422">
        <w:t>drones</w:t>
      </w:r>
      <w:r w:rsidRPr="00364422">
        <w:t xml:space="preserve"> e os balões meteorológicos e da afetação de recursos adequados para o efeito; insta a UE e os seus Estados</w:t>
      </w:r>
      <w:r w:rsidRPr="00364422">
        <w:noBreakHyphen/>
        <w:t>Membros a reforçarem urgentemente as capacidades de deteção, empastelamento, interceção e neutralização ao longo do flanco oriental da UE; propõe ainda a realização regular de exercícios conjuntos entre os Estados</w:t>
      </w:r>
      <w:r w:rsidRPr="00364422">
        <w:noBreakHyphen/>
        <w:t>Membros, as instituições da UE, a Ucrânia e a NATO, a fim de testar e melhorar a prontidão destes mecanismos de resposta rápida;</w:t>
      </w:r>
    </w:p>
    <w:p w:rsidR="00C93700" w:rsidRPr="00364422" w:rsidP="00C93700" w14:paraId="4803AF12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364422">
        <w:t>12.</w:t>
      </w:r>
      <w:r w:rsidRPr="00364422">
        <w:tab/>
        <w:t>Recomenda a integração do C</w:t>
      </w:r>
      <w:r w:rsidRPr="00364422">
        <w:noBreakHyphen/>
        <w:t>UAS em exercícios de formação conjuntos e no planeamento da proteção civil ao nível da UE, com destaque para as infraestruturas críticas que permitem que a polícia, as autoridades aeroportuárias e os operadores do setor da energia acedam a formação à escala da UE e a capacidades normalizadas do C</w:t>
      </w:r>
      <w:r w:rsidRPr="00364422">
        <w:noBreakHyphen/>
        <w:t>UAS;</w:t>
      </w:r>
    </w:p>
    <w:p w:rsidR="00C93700" w:rsidRPr="00364422" w:rsidP="00C93700" w14:paraId="50602EF6" w14:textId="6AEBD139">
      <w:pPr>
        <w:pStyle w:val="NormalHanging12a"/>
      </w:pPr>
      <w:r>
        <w:t>1</w:t>
      </w:r>
      <w:r w:rsidRPr="00364422">
        <w:t>3.</w:t>
      </w:r>
      <w:r w:rsidRPr="00364422">
        <w:tab/>
        <w:t xml:space="preserve">Assinala com preocupação que os atuais sistemas europeus de deteção e defesa </w:t>
      </w:r>
      <w:r w:rsidRPr="00364422">
        <w:t>antidrones</w:t>
      </w:r>
      <w:r w:rsidRPr="00364422">
        <w:t xml:space="preserve"> são inadequados e realça a necessidade urgente de melhorar a deteção e a </w:t>
      </w:r>
      <w:r w:rsidRPr="00364422">
        <w:t xml:space="preserve">defesa; realça, neste contexto, a necessidade de uma abordagem global que vise dotar as autoridades responsáveis pela aplicação da lei e as autoridades civis de mais meios de deteção de </w:t>
      </w:r>
      <w:r w:rsidRPr="00364422">
        <w:t>drones</w:t>
      </w:r>
      <w:r w:rsidRPr="00364422">
        <w:t xml:space="preserve"> e de defesa </w:t>
      </w:r>
      <w:r w:rsidRPr="00364422">
        <w:t>antidrones</w:t>
      </w:r>
      <w:r w:rsidRPr="00364422">
        <w:t>;</w:t>
      </w:r>
    </w:p>
    <w:p w:rsidR="00C93700" w:rsidRPr="00364422" w:rsidP="00C93700" w14:paraId="14F68303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364422">
        <w:t>14.</w:t>
      </w:r>
      <w:r w:rsidRPr="00364422">
        <w:tab/>
        <w:t>Incentiva os Estados</w:t>
      </w:r>
      <w:r w:rsidRPr="00364422">
        <w:noBreakHyphen/>
        <w:t xml:space="preserve">Membros a darem prioridade à integração dos sistemas de comando e controlo com os elementos de primeira intervenção, a defesa civil e a doutrina de defesa </w:t>
      </w:r>
      <w:r w:rsidRPr="00364422">
        <w:t>antidrones</w:t>
      </w:r>
      <w:r w:rsidRPr="00364422">
        <w:t>, a fim de garantir a maior otimização possível da preparação civil, dos abrigos, dos dipositivos de alerta precoce e da integração tecnológica;</w:t>
      </w:r>
    </w:p>
    <w:p w:rsidR="00C93700" w:rsidRPr="00364422" w:rsidP="00C93700" w14:paraId="500CD64B" w14:textId="77777777">
      <w:pPr>
        <w:pStyle w:val="NormalHanging12a"/>
      </w:pPr>
      <w:r w:rsidRPr="00364422">
        <w:t>15.</w:t>
      </w:r>
      <w:r w:rsidRPr="00364422">
        <w:tab/>
        <w:t>Salienta que as incursões deliberadas da Rússia no flanco oriental da UE e da NATO visam não só provocar e desestabilizar os Estados</w:t>
      </w:r>
      <w:r w:rsidRPr="00364422">
        <w:noBreakHyphen/>
        <w:t>Membros, mas também testar e explorar as fragilidades das capacidades de deteção e resposta da NATO; reconhece que a Rússia prossegue as suas atividades de desestabilização na região do mar Negro, mediante ações convencionais e híbridas, nomeadamente através da utilização de minas à deriva, de operações de empastelamento e de ameaças à liberdade de navegação, tornando o reforço da segurança nesta região uma prioridade estratégica que deve ser afrontada com urgência como uma ameaça à segurança europeia;</w:t>
      </w:r>
    </w:p>
    <w:p w:rsidR="00C93700" w:rsidRPr="00364422" w:rsidP="00C93700" w14:paraId="1785CAAC" w14:textId="77777777">
      <w:pPr>
        <w:pStyle w:val="NormalHanging12a"/>
      </w:pPr>
      <w:r w:rsidRPr="00364422">
        <w:t>16.</w:t>
      </w:r>
      <w:r w:rsidRPr="00364422">
        <w:tab/>
        <w:t>Preconiza a plena aplicação da abordagem estratégica da UE para o mar Negro e a aceleração da criação do polo para a segurança marítima do mar Negro;</w:t>
      </w:r>
    </w:p>
    <w:p w:rsidR="00C93700" w:rsidRPr="00364422" w:rsidP="00C93700" w14:paraId="02BCF0A5" w14:textId="77777777">
      <w:pPr>
        <w:pStyle w:val="NormalHanging12a"/>
      </w:pPr>
      <w:r w:rsidRPr="00364422">
        <w:t>17.</w:t>
      </w:r>
      <w:r w:rsidRPr="00364422">
        <w:tab/>
        <w:t>Congratula</w:t>
      </w:r>
      <w:r w:rsidRPr="00364422">
        <w:noBreakHyphen/>
        <w:t>se com a recente aprovação do 20.º pacote de sanções da UE contra a Rússia e com a apresentação do 21.º pacote de sanções; convida a Comissão, o enviado da UE para as sanções e os Estados</w:t>
      </w:r>
      <w:r w:rsidRPr="00364422">
        <w:noBreakHyphen/>
        <w:t>Membros a aplicarem rigorosamente as sanções novas e as já existentes e a darem prioridade, sem demora, à eliminação das lacunas nas cadeias de abastecimento; insta a Comissão a elaborar sanções adicionais sem demora, nomeadamente no que respeita à alumina e a outras matérias</w:t>
      </w:r>
      <w:r w:rsidRPr="00364422">
        <w:noBreakHyphen/>
        <w:t>primas estratégicas e bens de dupla utilização, e apela a todos os Estados</w:t>
      </w:r>
      <w:r w:rsidRPr="00364422">
        <w:noBreakHyphen/>
        <w:t>Membros para que não entravem esta inclusão por motivos de interesse económico nacional; apoia a adoção de medidas adicionais para o próximo pacote de sanções contra os setores energético e financeiro da Federação da Rússia, bem como a proibição de entrada na UE de antigos combatentes russos que lutaram na Ucrânia, e insta os Estados</w:t>
      </w:r>
      <w:r w:rsidRPr="00364422">
        <w:noBreakHyphen/>
        <w:t>Membros que continuam a apoiar a Federação da Rússia a cessarem esse apoio;</w:t>
      </w:r>
    </w:p>
    <w:p w:rsidR="00C93700" w:rsidRPr="00364422" w:rsidP="00C93700" w14:paraId="25689A59" w14:textId="77777777">
      <w:pPr>
        <w:pStyle w:val="NormalHanging12a"/>
      </w:pPr>
      <w:r w:rsidRPr="00364422">
        <w:t>18.</w:t>
      </w:r>
      <w:r w:rsidRPr="00364422">
        <w:tab/>
        <w:t>Exorta os Estados</w:t>
      </w:r>
      <w:r w:rsidRPr="00364422">
        <w:noBreakHyphen/>
        <w:t>Membros, em particular os que emitem a maioria dos vistos a cidadãos russos, a aplicarem rigorosamente a decisão de execução da Comissão, de 6 de novembro de 2025, que estabelece regras adaptadas para a emissão de vistos de entradas múltiplas a cidadãos russos residentes na Federação da Rússia e que solicitem na Federação da Rússia vistos de curta duração</w:t>
      </w:r>
      <w:r>
        <w:rPr>
          <w:rStyle w:val="FootnoteReference"/>
        </w:rPr>
        <w:footnoteReference w:id="4"/>
      </w:r>
      <w:r w:rsidRPr="00364422">
        <w:t>, e a aplicarem plenamente as orientações da Comissão de 2022 sobre uma análise reforçada dos pedidos, especialmente no que diz respeito às viagens turísticas e outras viagens não indispensáveis, salvaguardando simultaneamente o acesso de ativistas políticos que se opõem à guerra, jornalistas independentes, defensores dos direitos humanos, representantes da sociedade civil e a outras pessoas por razões humanitárias;</w:t>
      </w:r>
    </w:p>
    <w:p w:rsidR="00C93700" w:rsidRPr="00364422" w:rsidP="00C93700" w14:paraId="38F608D9" w14:textId="4F97C34B">
      <w:pPr>
        <w:pStyle w:val="NormalHanging12a"/>
        <w:rPr>
          <w:rFonts w:eastAsia="Aptos"/>
          <w:kern w:val="2"/>
          <w14:ligatures w14:val="standardContextual"/>
        </w:rPr>
      </w:pPr>
      <w:r w:rsidRPr="00364422">
        <w:t>19.</w:t>
      </w:r>
      <w:r w:rsidRPr="00364422">
        <w:tab/>
        <w:t xml:space="preserve">Apela à criação de um </w:t>
      </w:r>
      <w:r w:rsidRPr="00364422" w:rsidR="0037665F">
        <w:t xml:space="preserve">regime </w:t>
      </w:r>
      <w:r w:rsidRPr="00364422">
        <w:t xml:space="preserve">horizontal de sanções da UE especificamente concebido para as </w:t>
      </w:r>
      <w:bookmarkStart w:id="7" w:name="_Hlk232495892"/>
      <w:r w:rsidRPr="00364422">
        <w:t>ameaças híbridas, que existiria juntamente com o regime de sanções híbridas dirigido contra a Rússia</w:t>
      </w:r>
      <w:bookmarkEnd w:id="7"/>
      <w:r w:rsidRPr="00364422">
        <w:t xml:space="preserve">, a fim de sublinhar a participação ativa da Rússia em operações </w:t>
      </w:r>
      <w:r w:rsidRPr="00364422">
        <w:t>híbridas a nível mundial, permitindo simultaneamente sancionar de forma mais rápida e sistemática as entidades responsáveis por campanhas híbridas;</w:t>
      </w:r>
      <w:r w:rsidRPr="00364422" w:rsidR="0037665F">
        <w:t xml:space="preserve"> recorda que algumas pessoas, entre as quais </w:t>
      </w:r>
      <w:r w:rsidRPr="00364422" w:rsidR="0037665F">
        <w:t>Ksenia</w:t>
      </w:r>
      <w:r w:rsidRPr="00364422" w:rsidR="0037665F">
        <w:t> </w:t>
      </w:r>
      <w:r w:rsidRPr="00364422" w:rsidR="0037665F">
        <w:t>Fedorova</w:t>
      </w:r>
      <w:r w:rsidRPr="00364422" w:rsidR="0037665F">
        <w:t>, em França, que trabalhavam para meios de propaganda russos sancionados, como a RT, continuam a disseminar desinformação na Europa; apela à sua inclusão na lista de pessoas sancionadas no próximo pacote de sanções;</w:t>
      </w:r>
    </w:p>
    <w:p w:rsidR="00C93700" w:rsidRPr="00364422" w:rsidP="00C93700" w14:paraId="51BE465F" w14:textId="77777777">
      <w:pPr>
        <w:pStyle w:val="NormalHanging12a"/>
        <w:rPr>
          <w:rFonts w:eastAsia="Aptos"/>
          <w:kern w:val="2"/>
          <w14:ligatures w14:val="standardContextual"/>
        </w:rPr>
      </w:pPr>
      <w:bookmarkStart w:id="8" w:name="_Hlk232495916"/>
      <w:r w:rsidRPr="00364422">
        <w:t>20.</w:t>
      </w:r>
      <w:r w:rsidRPr="00364422">
        <w:tab/>
        <w:t>Insta a UE e os seus Estados</w:t>
      </w:r>
      <w:r w:rsidRPr="00364422">
        <w:noBreakHyphen/>
        <w:t>Membros a velarem por um financiamento adequado para a construção e renovação de abrigos civis antiaéreos no flanco oriental e nos outros Estados</w:t>
      </w:r>
      <w:r w:rsidRPr="00364422">
        <w:noBreakHyphen/>
        <w:t>Membros da UE e a realizarem campanhas de informação e exercícios civis à escala da UE para sensibilizar os cidadãos para a forma de agir em caso de ataques aéreos ou de uma situação de crise semelhante</w:t>
      </w:r>
      <w:bookmarkEnd w:id="8"/>
      <w:r w:rsidRPr="00364422">
        <w:t>; considera que a proteção das populações civis da UE ante ameaças aéreas deve ser tratada como uma componente integrante da prontidão, preparação e resiliência da defesa europeia; salienta a necessidade urgente de aumentar o financiamento dos programas e projetos de segurança e defesa, com especial destaque para os países do flanco oriental, no próximo quadro financeiro plurianual; exorta a UE e os seus Estados</w:t>
      </w:r>
      <w:r w:rsidRPr="00364422">
        <w:noBreakHyphen/>
        <w:t>Membros a adotarem uma abordagem abrangente e que englobe toda a sociedade, reconhecendo que uma segurança duradoura exige não só capacidades militares adequadas, mas também coesão social, resiliência económica, estabilidade democrática e serviços públicos sólidos;</w:t>
      </w:r>
    </w:p>
    <w:p w:rsidR="00C93700" w:rsidRPr="00364422" w:rsidP="00C93700" w14:paraId="0B9E86AD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364422">
        <w:t>21.</w:t>
      </w:r>
      <w:r w:rsidRPr="00364422">
        <w:tab/>
        <w:t xml:space="preserve">Sublinha que a Ucrânia desenvolveu conhecimentos especializados operacionais e industriais sem paralelo em matéria de produção de </w:t>
      </w:r>
      <w:r w:rsidRPr="00364422">
        <w:t>drones</w:t>
      </w:r>
      <w:r w:rsidRPr="00364422">
        <w:t xml:space="preserve"> e de sistemas de combate a </w:t>
      </w:r>
      <w:r w:rsidRPr="00364422">
        <w:t>drones</w:t>
      </w:r>
      <w:r w:rsidRPr="00364422">
        <w:t>; considera, por conseguinte, que o aprofundamento da cooperação industrial em matéria de defesa entre a UE e a Ucrânia neste domínio é um imperativo estratégico; insta a UE e os seus Estados</w:t>
      </w:r>
      <w:r w:rsidRPr="00364422">
        <w:noBreakHyphen/>
        <w:t>Membros a integrarem plenamente os conhecimentos especializados e a capacidade industrial da Ucrânia no desenvolvimento das capacidades europeias para combater as ameaças aéreas não convencionais;</w:t>
      </w:r>
    </w:p>
    <w:p w:rsidR="00C93700" w:rsidRPr="00364422" w:rsidP="00C93700" w14:paraId="5BA15E5B" w14:textId="77777777">
      <w:pPr>
        <w:pStyle w:val="NormalHanging12a"/>
      </w:pPr>
      <w:r w:rsidRPr="00364422">
        <w:t>22.</w:t>
      </w:r>
      <w:r w:rsidRPr="00364422">
        <w:tab/>
        <w:t xml:space="preserve">Salienta que, para fazer face às ameaças de </w:t>
      </w:r>
      <w:r w:rsidRPr="00364422">
        <w:t>drones</w:t>
      </w:r>
      <w:r w:rsidRPr="00364422">
        <w:t xml:space="preserve"> provenientes da Rússia, a cooperação com a República da Moldávia — juntamente com a Ucrânia — é essencial em termos de eficiência operacional, conhecimento da situação e intercâmbio de informações; insta, por conseguinte, os Estados</w:t>
      </w:r>
      <w:r w:rsidRPr="00364422">
        <w:noBreakHyphen/>
        <w:t xml:space="preserve">Membros a aumentarem o financiamento destinado à Moldávia através do Mecanismo Europeu de Apoio à Paz, também à luz das repetidas violações do espaço aéreo moldavo por </w:t>
      </w:r>
      <w:r w:rsidRPr="00364422">
        <w:t>drones</w:t>
      </w:r>
      <w:r w:rsidRPr="00364422">
        <w:t xml:space="preserve"> e mísseis russos; exorta ainda os Estados</w:t>
      </w:r>
      <w:r w:rsidRPr="00364422">
        <w:noBreakHyphen/>
        <w:t>Membros a incluírem a Moldávia e a Ucrânia nas aquisições conjuntas;</w:t>
      </w:r>
    </w:p>
    <w:p w:rsidR="00C93700" w:rsidRPr="00364422" w:rsidP="00C93700" w14:paraId="58ADBC26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364422">
        <w:t>23.</w:t>
      </w:r>
      <w:r w:rsidRPr="00364422">
        <w:tab/>
        <w:t>Convida os Estados</w:t>
      </w:r>
      <w:r w:rsidRPr="00364422">
        <w:noBreakHyphen/>
        <w:t xml:space="preserve">Membros a desenvolverem urgentemente as capacidades prioritárias identificadas no Livro Branco Conjunto «Preparação da defesa europeia 2030», em particular no domínio da defesa aérea e antimísseis, bem como dos </w:t>
      </w:r>
      <w:r w:rsidRPr="00364422">
        <w:t>drones</w:t>
      </w:r>
      <w:r w:rsidRPr="00364422">
        <w:t xml:space="preserve"> e dos sistemas </w:t>
      </w:r>
      <w:r w:rsidRPr="00364422">
        <w:t>antidrones</w:t>
      </w:r>
      <w:r w:rsidRPr="00364422">
        <w:t xml:space="preserve">; </w:t>
      </w:r>
      <w:r w:rsidRPr="00364422">
        <w:rPr>
          <w:rStyle w:val="normaltextrun"/>
          <w:color w:val="000000"/>
        </w:rPr>
        <w:t>exorta os Estados</w:t>
      </w:r>
      <w:r w:rsidRPr="00364422">
        <w:rPr>
          <w:rStyle w:val="normaltextrun"/>
          <w:color w:val="000000"/>
        </w:rPr>
        <w:noBreakHyphen/>
        <w:t xml:space="preserve">Membros a porem rapidamente em marcha sistemas comuns e multifacetados de defesa </w:t>
      </w:r>
      <w:r w:rsidRPr="00364422">
        <w:rPr>
          <w:rStyle w:val="normaltextrun"/>
          <w:color w:val="000000"/>
        </w:rPr>
        <w:t>antidrones</w:t>
      </w:r>
      <w:r w:rsidRPr="00364422">
        <w:rPr>
          <w:rStyle w:val="normaltextrun"/>
          <w:color w:val="000000"/>
        </w:rPr>
        <w:t>, que sejam eficazes do ponto de vista dos custos, começando pelo flanco oriental, capazes de detetar e intercetar ameaças aéreas e marítimas provenientes de países fora da UE</w:t>
      </w:r>
      <w:r w:rsidRPr="00364422">
        <w:t>, nomeadamente através do reforço da vigilância aérea e marítima, de sistemas de alerta precoce, de meios de resposta rápida e de melhores infraestruturas de mobilidade militar</w:t>
      </w:r>
      <w:r w:rsidRPr="00364422">
        <w:rPr>
          <w:rStyle w:val="normaltextrun"/>
          <w:color w:val="000000"/>
        </w:rPr>
        <w:t>;</w:t>
      </w:r>
    </w:p>
    <w:p w:rsidR="00C93700" w:rsidRPr="00364422" w:rsidP="00C93700" w14:paraId="1C17D7A5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364422">
        <w:t>24.</w:t>
      </w:r>
      <w:r w:rsidRPr="00364422">
        <w:tab/>
        <w:t xml:space="preserve">Advoga a criação de um centro europeu de excelência para a guerra com recurso a </w:t>
      </w:r>
      <w:r w:rsidRPr="00364422">
        <w:t>drones</w:t>
      </w:r>
      <w:r w:rsidRPr="00364422">
        <w:t>, em que os instrutores ucranianos transmitam os seus conhecimentos especializados aos Estados</w:t>
      </w:r>
      <w:r w:rsidRPr="00364422">
        <w:noBreakHyphen/>
        <w:t>Membros da UE;</w:t>
      </w:r>
    </w:p>
    <w:p w:rsidR="00C93700" w:rsidRPr="00364422" w:rsidP="00C93700" w14:paraId="59B8A69D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364422">
        <w:t>25.</w:t>
      </w:r>
      <w:r w:rsidRPr="00364422">
        <w:tab/>
        <w:t xml:space="preserve">Solicita a plena e rápida implementação da Iniciativa de Defesa Europeia </w:t>
      </w:r>
      <w:r w:rsidRPr="00364422">
        <w:t>Antidrones</w:t>
      </w:r>
      <w:r w:rsidRPr="00364422">
        <w:t xml:space="preserve"> e da iniciativa «Vigilância do Flanco Oriental»; insta os Estados</w:t>
      </w:r>
      <w:r w:rsidRPr="00364422">
        <w:noBreakHyphen/>
        <w:t>Membros a participarem ativamente em ambas as iniciativas e a contribuírem para as mesmas, em estreita coordenação com a NATO;</w:t>
      </w:r>
    </w:p>
    <w:p w:rsidR="00E365E1" w:rsidRPr="00364422" w:rsidP="006D19AC" w14:paraId="118511FF" w14:textId="444AFB1D">
      <w:pPr>
        <w:pStyle w:val="NormalHanging12a"/>
      </w:pPr>
      <w:r w:rsidRPr="00364422">
        <w:t>26.</w:t>
      </w:r>
      <w:r w:rsidRPr="00364422">
        <w:tab/>
        <w:t>Encarrega a sua Presidente de transmitir a presente resolução ao Conselho, à Comissão, aos governos e parlamentos dos Estados</w:t>
      </w:r>
      <w:r w:rsidRPr="00364422">
        <w:noBreakHyphen/>
        <w:t>Membros, ao Secretário</w:t>
      </w:r>
      <w:r w:rsidRPr="00364422">
        <w:noBreakHyphen/>
        <w:t xml:space="preserve">Geral da NATO, à UNESCO, à Organização para a Segurança e a Cooperação na Europa, ao Conselho da Europa, ao Presidente, ao Governo e ao </w:t>
      </w:r>
      <w:r w:rsidRPr="00364422">
        <w:t>Verkhovna</w:t>
      </w:r>
      <w:r w:rsidRPr="00364422">
        <w:t xml:space="preserve"> Rada da Ucrânia, às autoridades russas e às autoridades de facto do regime de </w:t>
      </w:r>
      <w:r w:rsidRPr="00364422">
        <w:t>Lukaschenko</w:t>
      </w:r>
      <w:r w:rsidRPr="00364422">
        <w:t>.</w:t>
      </w:r>
    </w:p>
    <w:sectPr w:rsidSect="0017281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7281F" w14:paraId="698D9767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7281F" w14:paraId="39CB3EC9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7281F" w14:paraId="5DDE92A7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920A45" w:rsidRPr="0017281F" w14:paraId="650177E0" w14:textId="77777777">
      <w:r w:rsidRPr="0017281F">
        <w:separator/>
      </w:r>
    </w:p>
  </w:footnote>
  <w:footnote w:type="continuationSeparator" w:id="1">
    <w:p w:rsidR="00920A45" w:rsidRPr="0017281F" w14:paraId="0B651731" w14:textId="77777777">
      <w:r w:rsidRPr="0017281F">
        <w:continuationSeparator/>
      </w:r>
    </w:p>
  </w:footnote>
  <w:footnote w:id="2">
    <w:p w:rsidR="00C93700" w:rsidRPr="006D19AC" w:rsidP="0017281F" w14:paraId="7C1C59D2" w14:textId="48B73111">
      <w:pPr>
        <w:pStyle w:val="FootnoteText"/>
        <w:ind w:left="567" w:hanging="567"/>
        <w:rPr>
          <w:sz w:val="24"/>
          <w:lang w:val="fi-FI"/>
        </w:rPr>
      </w:pPr>
      <w:r w:rsidRPr="0017281F">
        <w:rPr>
          <w:rStyle w:val="FootnoteReference"/>
          <w:sz w:val="24"/>
          <w:lang w:val="pt-PT"/>
        </w:rPr>
        <w:footnoteRef/>
      </w:r>
      <w:r w:rsidRPr="006D19AC" w:rsidR="0017281F">
        <w:rPr>
          <w:sz w:val="24"/>
          <w:lang w:val="fi-FI"/>
        </w:rPr>
        <w:t xml:space="preserve"> </w:t>
      </w:r>
      <w:r w:rsidRPr="006D19AC" w:rsidR="0017281F">
        <w:rPr>
          <w:sz w:val="24"/>
          <w:lang w:val="fi-FI"/>
        </w:rPr>
        <w:tab/>
      </w:r>
      <w:r w:rsidRPr="006D19AC">
        <w:rPr>
          <w:sz w:val="24"/>
          <w:lang w:val="fi-FI"/>
        </w:rPr>
        <w:t xml:space="preserve">JO C, C/2026/1530, 15.4.2026, ELI: </w:t>
      </w:r>
      <w:hyperlink r:id="rId1" w:history="1">
        <w:r w:rsidRPr="006D19AC">
          <w:rPr>
            <w:rStyle w:val="Hyperlink"/>
            <w:sz w:val="24"/>
            <w:lang w:val="fi-FI"/>
          </w:rPr>
          <w:t>http://data.europa.eu/eli/C/2026/1530/oj</w:t>
        </w:r>
      </w:hyperlink>
      <w:r w:rsidRPr="006D19AC">
        <w:rPr>
          <w:sz w:val="24"/>
          <w:lang w:val="fi-FI"/>
        </w:rPr>
        <w:t xml:space="preserve">. </w:t>
      </w:r>
    </w:p>
  </w:footnote>
  <w:footnote w:id="3">
    <w:p w:rsidR="00C93700" w:rsidRPr="006D19AC" w:rsidP="0017281F" w14:paraId="66AEBF67" w14:textId="2172539B">
      <w:pPr>
        <w:pStyle w:val="FootnoteText"/>
        <w:ind w:left="567" w:hanging="567"/>
        <w:rPr>
          <w:sz w:val="24"/>
          <w:lang w:val="fi-FI"/>
        </w:rPr>
      </w:pPr>
      <w:r w:rsidRPr="0017281F">
        <w:rPr>
          <w:rStyle w:val="FootnoteReference"/>
          <w:sz w:val="24"/>
          <w:lang w:val="pt-PT"/>
        </w:rPr>
        <w:footnoteRef/>
      </w:r>
      <w:r w:rsidRPr="006D19AC" w:rsidR="0017281F">
        <w:rPr>
          <w:sz w:val="24"/>
          <w:lang w:val="fi-FI"/>
        </w:rPr>
        <w:t xml:space="preserve"> </w:t>
      </w:r>
      <w:r w:rsidRPr="006D19AC" w:rsidR="0017281F">
        <w:rPr>
          <w:sz w:val="24"/>
          <w:lang w:val="fi-FI"/>
        </w:rPr>
        <w:tab/>
      </w:r>
      <w:r w:rsidRPr="006D19AC">
        <w:rPr>
          <w:sz w:val="24"/>
          <w:lang w:val="fi-FI"/>
        </w:rPr>
        <w:t xml:space="preserve">JO C, C/2025/3151, 20.6.2025, ELI: </w:t>
      </w:r>
      <w:hyperlink r:id="rId2" w:history="1">
        <w:r w:rsidRPr="006D19AC">
          <w:rPr>
            <w:rStyle w:val="Hyperlink"/>
            <w:sz w:val="24"/>
            <w:lang w:val="fi-FI"/>
          </w:rPr>
          <w:t>http://data.europa.eu/eli/C/2025/3151/oj</w:t>
        </w:r>
      </w:hyperlink>
      <w:r w:rsidRPr="006D19AC">
        <w:rPr>
          <w:sz w:val="24"/>
          <w:lang w:val="fi-FI"/>
        </w:rPr>
        <w:t>.</w:t>
      </w:r>
    </w:p>
  </w:footnote>
  <w:footnote w:id="4">
    <w:p w:rsidR="00C93700" w:rsidRPr="0017281F" w:rsidP="0017281F" w14:paraId="58F1C4D5" w14:textId="67194A87">
      <w:pPr>
        <w:pStyle w:val="FootnoteText"/>
        <w:ind w:left="567" w:hanging="567"/>
        <w:rPr>
          <w:sz w:val="24"/>
          <w:lang w:val="pt-PT"/>
        </w:rPr>
      </w:pPr>
      <w:r w:rsidRPr="0017281F">
        <w:rPr>
          <w:rStyle w:val="FootnoteReference"/>
          <w:sz w:val="24"/>
          <w:lang w:val="pt-PT"/>
        </w:rPr>
        <w:footnoteRef/>
      </w:r>
      <w:r w:rsidRPr="0017281F" w:rsidR="0017281F">
        <w:rPr>
          <w:sz w:val="24"/>
          <w:lang w:val="pt-PT"/>
        </w:rPr>
        <w:t xml:space="preserve"> </w:t>
      </w:r>
      <w:r w:rsidRPr="0017281F" w:rsidR="0017281F">
        <w:rPr>
          <w:sz w:val="24"/>
          <w:lang w:val="pt-PT"/>
        </w:rPr>
        <w:tab/>
      </w:r>
      <w:r w:rsidRPr="0017281F">
        <w:rPr>
          <w:sz w:val="24"/>
          <w:lang w:val="pt-PT"/>
        </w:rPr>
        <w:t>(C(2025)7552).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7281F" w14:paraId="1CB88F26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7281F" w14:paraId="2FD17F32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7281F" w14:paraId="09C591AB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59092758">
    <w:abstractNumId w:val="9"/>
  </w:num>
  <w:num w:numId="2" w16cid:durableId="641694781">
    <w:abstractNumId w:val="9"/>
  </w:num>
  <w:num w:numId="3" w16cid:durableId="1148670006">
    <w:abstractNumId w:val="7"/>
  </w:num>
  <w:num w:numId="4" w16cid:durableId="165293166">
    <w:abstractNumId w:val="7"/>
  </w:num>
  <w:num w:numId="5" w16cid:durableId="1808544680">
    <w:abstractNumId w:val="6"/>
  </w:num>
  <w:num w:numId="6" w16cid:durableId="577250785">
    <w:abstractNumId w:val="6"/>
  </w:num>
  <w:num w:numId="7" w16cid:durableId="1133451146">
    <w:abstractNumId w:val="5"/>
  </w:num>
  <w:num w:numId="8" w16cid:durableId="127359569">
    <w:abstractNumId w:val="5"/>
  </w:num>
  <w:num w:numId="9" w16cid:durableId="1671592002">
    <w:abstractNumId w:val="4"/>
  </w:num>
  <w:num w:numId="10" w16cid:durableId="1358895314">
    <w:abstractNumId w:val="4"/>
  </w:num>
  <w:num w:numId="11" w16cid:durableId="678191546">
    <w:abstractNumId w:val="8"/>
  </w:num>
  <w:num w:numId="12" w16cid:durableId="1270507679">
    <w:abstractNumId w:val="8"/>
  </w:num>
  <w:num w:numId="13" w16cid:durableId="953052652">
    <w:abstractNumId w:val="3"/>
  </w:num>
  <w:num w:numId="14" w16cid:durableId="1525513538">
    <w:abstractNumId w:val="3"/>
  </w:num>
  <w:num w:numId="15" w16cid:durableId="432435798">
    <w:abstractNumId w:val="2"/>
  </w:num>
  <w:num w:numId="16" w16cid:durableId="439449751">
    <w:abstractNumId w:val="2"/>
  </w:num>
  <w:num w:numId="17" w16cid:durableId="1354303630">
    <w:abstractNumId w:val="1"/>
  </w:num>
  <w:num w:numId="18" w16cid:durableId="801969974">
    <w:abstractNumId w:val="1"/>
  </w:num>
  <w:num w:numId="19" w16cid:durableId="1649935331">
    <w:abstractNumId w:val="0"/>
  </w:num>
  <w:num w:numId="20" w16cid:durableId="432627246">
    <w:abstractNumId w:val="0"/>
  </w:num>
  <w:num w:numId="21" w16cid:durableId="157118040">
    <w:abstractNumId w:val="9"/>
  </w:num>
  <w:num w:numId="22" w16cid:durableId="1524323806">
    <w:abstractNumId w:val="7"/>
  </w:num>
  <w:num w:numId="23" w16cid:durableId="561599560">
    <w:abstractNumId w:val="6"/>
  </w:num>
  <w:num w:numId="24" w16cid:durableId="378087887">
    <w:abstractNumId w:val="5"/>
  </w:num>
  <w:num w:numId="25" w16cid:durableId="373583655">
    <w:abstractNumId w:val="4"/>
  </w:num>
  <w:num w:numId="26" w16cid:durableId="2021465058">
    <w:abstractNumId w:val="8"/>
  </w:num>
  <w:num w:numId="27" w16cid:durableId="493492523">
    <w:abstractNumId w:val="3"/>
  </w:num>
  <w:num w:numId="28" w16cid:durableId="1013845601">
    <w:abstractNumId w:val="2"/>
  </w:num>
  <w:num w:numId="29" w16cid:durableId="177936240">
    <w:abstractNumId w:val="1"/>
  </w:num>
  <w:num w:numId="30" w16cid:durableId="885675959">
    <w:abstractNumId w:val="0"/>
  </w:num>
  <w:num w:numId="31" w16cid:durableId="69665216">
    <w:abstractNumId w:val="9"/>
  </w:num>
  <w:num w:numId="32" w16cid:durableId="912350899">
    <w:abstractNumId w:val="7"/>
  </w:num>
  <w:num w:numId="33" w16cid:durableId="813639695">
    <w:abstractNumId w:val="6"/>
  </w:num>
  <w:num w:numId="34" w16cid:durableId="705452423">
    <w:abstractNumId w:val="5"/>
  </w:num>
  <w:num w:numId="35" w16cid:durableId="1012269233">
    <w:abstractNumId w:val="4"/>
  </w:num>
  <w:num w:numId="36" w16cid:durableId="757138391">
    <w:abstractNumId w:val="8"/>
  </w:num>
  <w:num w:numId="37" w16cid:durableId="2039240098">
    <w:abstractNumId w:val="3"/>
  </w:num>
  <w:num w:numId="38" w16cid:durableId="536628801">
    <w:abstractNumId w:val="2"/>
  </w:num>
  <w:num w:numId="39" w16cid:durableId="719131787">
    <w:abstractNumId w:val="1"/>
  </w:num>
  <w:num w:numId="40" w16cid:durableId="167259949">
    <w:abstractNumId w:val="0"/>
  </w:num>
  <w:num w:numId="41" w16cid:durableId="241645102">
    <w:abstractNumId w:val="10"/>
  </w:num>
  <w:num w:numId="42" w16cid:durableId="109399692">
    <w:abstractNumId w:val="10"/>
  </w:num>
  <w:num w:numId="43" w16cid:durableId="1391077174">
    <w:abstractNumId w:val="10"/>
  </w:num>
  <w:num w:numId="44" w16cid:durableId="97078507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A45"/>
    <w:rsid w:val="00002272"/>
    <w:rsid w:val="00064002"/>
    <w:rsid w:val="000677B9"/>
    <w:rsid w:val="000831BA"/>
    <w:rsid w:val="000A42CC"/>
    <w:rsid w:val="000E7DD9"/>
    <w:rsid w:val="0010095E"/>
    <w:rsid w:val="00125B37"/>
    <w:rsid w:val="0017281F"/>
    <w:rsid w:val="00187494"/>
    <w:rsid w:val="001F32AE"/>
    <w:rsid w:val="00267C3F"/>
    <w:rsid w:val="002767FF"/>
    <w:rsid w:val="002B18FE"/>
    <w:rsid w:val="002B5493"/>
    <w:rsid w:val="00343214"/>
    <w:rsid w:val="00361C00"/>
    <w:rsid w:val="00364422"/>
    <w:rsid w:val="0037665F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364F"/>
    <w:rsid w:val="005C2568"/>
    <w:rsid w:val="005F1B17"/>
    <w:rsid w:val="006037C0"/>
    <w:rsid w:val="006631B6"/>
    <w:rsid w:val="00680577"/>
    <w:rsid w:val="006D19AC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674B"/>
    <w:rsid w:val="00920A45"/>
    <w:rsid w:val="00930C23"/>
    <w:rsid w:val="0093193B"/>
    <w:rsid w:val="009509D8"/>
    <w:rsid w:val="00950B64"/>
    <w:rsid w:val="00981893"/>
    <w:rsid w:val="0099665F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3700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0634"/>
    <w:rsid w:val="00F5134D"/>
    <w:rsid w:val="00F74202"/>
    <w:rsid w:val="00F87713"/>
    <w:rsid w:val="00FA3170"/>
    <w:rsid w:val="00FB4360"/>
    <w:rsid w:val="00FD0C70"/>
  </w:rsids>
  <w:docVars>
    <w:docVar w:name="dvdocse" w:val="B10-0304, 0307, 0308, 0309 e 0311/2026"/>
    <w:docVar w:name="dvlangue" w:val="PT"/>
    <w:docVar w:name="dvnumam" w:val="0"/>
    <w:docVar w:name="dvpe" w:val="783.361"/>
    <w:docVar w:name="dvtitre" w:val="Resolução do Parlamento Europeu, de ... de ... de 2026,&#13;_x000a_ sobre as provocações inaceitáveis da Rússia e as incursões de drones na Roménia, nos Estados bálticos e na Finlândia(2026/2772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7C5D004"/>
  <w15:chartTrackingRefBased/>
  <w15:docId w15:val="{C334ECD7-DE7F-48F1-A21E-4424F1067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C93700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C93700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C93700"/>
    <w:rPr>
      <w:sz w:val="24"/>
      <w:lang w:val="pt-PT"/>
    </w:rPr>
  </w:style>
  <w:style w:type="character" w:customStyle="1" w:styleId="normaltextrun">
    <w:name w:val="normaltextrun"/>
    <w:basedOn w:val="DefaultParagraphFont"/>
    <w:rsid w:val="00C93700"/>
  </w:style>
  <w:style w:type="character" w:styleId="Hyperlink">
    <w:name w:val="Hyperlink"/>
    <w:basedOn w:val="DefaultParagraphFont"/>
    <w:rsid w:val="00C93700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FA3170"/>
    <w:rPr>
      <w:sz w:val="24"/>
      <w:lang w:val="pt-PT"/>
    </w:rPr>
  </w:style>
  <w:style w:type="character" w:styleId="CommentReference">
    <w:name w:val="annotation reference"/>
    <w:basedOn w:val="DefaultParagraphFont"/>
    <w:rsid w:val="0037665F"/>
    <w:rPr>
      <w:sz w:val="16"/>
      <w:szCs w:val="16"/>
    </w:rPr>
  </w:style>
  <w:style w:type="paragraph" w:styleId="CommentText">
    <w:name w:val="annotation text"/>
    <w:basedOn w:val="Normal"/>
    <w:link w:val="CommentTextChar"/>
    <w:rsid w:val="0037665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7665F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376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7665F"/>
    <w:rPr>
      <w:b/>
      <w:bCs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6/1530/oj" TargetMode="External" /><Relationship Id="rId2" Type="http://schemas.openxmlformats.org/officeDocument/2006/relationships/hyperlink" Target="http://data.europa.eu/eli/C/2025/3151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3558</Words>
  <Characters>19240</Characters>
  <Application>Microsoft Office Word</Application>
  <DocSecurity>0</DocSecurity>
  <Lines>160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2026-07-16T09:47:00Z</dcterms:created>
  <dcterms:modified xsi:type="dcterms:W3CDTF">2026-07-16T09:47:00Z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B10-0304, 0307, 0308, 0309 e 0311/2026</vt:lpwstr>
  </property>
  <property fmtid="{D5CDD505-2E9C-101B-9397-08002B2CF9AE}" pid="4" name="&lt;Type&gt;">
    <vt:lpwstr>RR</vt:lpwstr>
  </property>
</Properties>
</file>