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94FD44" w14:textId="77777777" w:rsidTr="0010095E">
        <w:tblPrEx>
          <w:tblW w:w="9072" w:type="dxa"/>
          <w:tblLook w:val="01E0"/>
        </w:tblPrEx>
        <w:trPr>
          <w:trHeight w:hRule="exact" w:val="1418"/>
        </w:trPr>
        <w:tc>
          <w:tcPr>
            <w:tcW w:w="6804" w:type="dxa"/>
            <w:shd w:val="clear" w:color="auto" w:fill="auto"/>
            <w:vAlign w:val="center"/>
          </w:tcPr>
          <w:p w:rsidR="00751A4A" w:rsidRPr="00146196" w:rsidP="0010095E" w14:paraId="24CD318D" w14:textId="77777777">
            <w:pPr>
              <w:pStyle w:val="EPName"/>
            </w:pPr>
            <w:r w:rsidRPr="00146196">
              <w:t>Evropský parlament</w:t>
            </w:r>
          </w:p>
          <w:p w:rsidR="00751A4A" w:rsidRPr="00146196" w:rsidP="005F1B17" w14:paraId="6EF2BA92" w14:textId="77777777">
            <w:pPr>
              <w:pStyle w:val="EPTerm"/>
              <w:rPr>
                <w:rStyle w:val="HideTWBExt"/>
                <w:noProof w:val="0"/>
                <w:vanish w:val="0"/>
                <w:color w:val="auto"/>
              </w:rPr>
            </w:pPr>
            <w:r w:rsidRPr="00146196">
              <w:t>2024</w:t>
            </w:r>
            <w:r w:rsidRPr="00146196" w:rsidR="00817416">
              <w:t>-202</w:t>
            </w:r>
            <w:r w:rsidRPr="00146196">
              <w:t>9</w:t>
            </w:r>
          </w:p>
        </w:tc>
        <w:tc>
          <w:tcPr>
            <w:tcW w:w="2268" w:type="dxa"/>
            <w:shd w:val="clear" w:color="auto" w:fill="auto"/>
          </w:tcPr>
          <w:p w:rsidR="00751A4A" w:rsidRPr="00146196" w:rsidP="0010095E" w14:paraId="70EC76C3" w14:textId="77777777">
            <w:pPr>
              <w:pStyle w:val="EPLogo"/>
            </w:pPr>
            <w:r w:rsidRPr="0014619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6196" w:rsidP="004C5D52" w14:paraId="00C4FF3C" w14:textId="77777777">
      <w:pPr>
        <w:pStyle w:val="LineTop"/>
      </w:pPr>
    </w:p>
    <w:p w:rsidR="00680577" w:rsidRPr="00146196" w:rsidP="00680577" w14:paraId="208058FF" w14:textId="77777777">
      <w:pPr>
        <w:pStyle w:val="EPBodyTA1"/>
      </w:pPr>
      <w:r w:rsidRPr="00146196">
        <w:t>PŘIJATÉ TEXTY</w:t>
      </w:r>
    </w:p>
    <w:p w:rsidR="00D058B8" w:rsidRPr="00146196" w:rsidP="00D058B8" w14:paraId="76E2EAF4" w14:textId="77777777">
      <w:pPr>
        <w:pStyle w:val="LineBottom"/>
      </w:pPr>
    </w:p>
    <w:p w:rsidR="00FA093A" w:rsidRPr="0091297A" w:rsidP="00FA093A" w14:paraId="7A5C8072" w14:textId="7F925DBF">
      <w:pPr>
        <w:pStyle w:val="ATHeading1"/>
      </w:pPr>
      <w:bookmarkStart w:id="0" w:name="TANumber"/>
      <w:r w:rsidRPr="0091297A">
        <w:t>P10_</w:t>
      </w:r>
      <w:r w:rsidRPr="0091297A">
        <w:t>TA(</w:t>
      </w:r>
      <w:r w:rsidRPr="0091297A">
        <w:t>2026)0</w:t>
      </w:r>
      <w:r w:rsidRPr="0091297A" w:rsidR="00703DF0">
        <w:t>232</w:t>
      </w:r>
      <w:bookmarkEnd w:id="0"/>
    </w:p>
    <w:p w:rsidR="00FA093A" w:rsidRPr="00146196" w:rsidP="00FA093A" w14:paraId="49B889ED" w14:textId="28C27F15">
      <w:pPr>
        <w:pStyle w:val="ATHeading2"/>
      </w:pPr>
      <w:bookmarkStart w:id="1" w:name="title"/>
      <w:bookmarkStart w:id="2" w:name="_Hlk232605270"/>
      <w:r w:rsidRPr="0091297A">
        <w:t>F</w:t>
      </w:r>
      <w:r w:rsidRPr="0091297A">
        <w:t>inancování ročního akčního plánu ve prospěch Sjednocené republiky Tanzanie na rok 2026</w:t>
      </w:r>
      <w:bookmarkEnd w:id="1"/>
    </w:p>
    <w:bookmarkEnd w:id="2"/>
    <w:p w:rsidR="00FA093A" w:rsidRPr="00146196" w:rsidP="00FA093A" w14:paraId="47903452" w14:textId="77777777">
      <w:pPr>
        <w:rPr>
          <w:i/>
          <w:vanish/>
        </w:rPr>
      </w:pPr>
      <w:r>
        <w:rPr>
          <w:i/>
        </w:rPr>
        <w:fldChar w:fldCharType="begin"/>
      </w:r>
      <w:r w:rsidRPr="00146196">
        <w:rPr>
          <w:i/>
        </w:rPr>
        <w:instrText xml:space="preserve"> TC"(</w:instrText>
      </w:r>
      <w:bookmarkStart w:id="3" w:name="DocNumber"/>
      <w:r w:rsidRPr="00146196">
        <w:rPr>
          <w:i/>
        </w:rPr>
        <w:instrText>B10-0273/2026</w:instrText>
      </w:r>
      <w:bookmarkEnd w:id="3"/>
      <w:r w:rsidRPr="00146196">
        <w:rPr>
          <w:i/>
        </w:rPr>
        <w:instrText xml:space="preserve">)"\l3 \n&gt; \* MERGEFORMAT </w:instrText>
      </w:r>
      <w:r>
        <w:rPr>
          <w:i/>
        </w:rPr>
        <w:fldChar w:fldCharType="end"/>
      </w:r>
    </w:p>
    <w:p w:rsidR="00FA093A" w:rsidRPr="00146196" w:rsidP="00FA093A" w14:paraId="023404DC" w14:textId="77777777">
      <w:pPr>
        <w:rPr>
          <w:vanish/>
        </w:rPr>
      </w:pPr>
      <w:bookmarkStart w:id="4" w:name="PE"/>
      <w:r w:rsidRPr="00146196">
        <w:rPr>
          <w:vanish/>
        </w:rPr>
        <w:t>PE789.144</w:t>
      </w:r>
      <w:bookmarkEnd w:id="4"/>
    </w:p>
    <w:p w:rsidR="00FA093A" w:rsidRPr="00146196" w:rsidP="00FA093A" w14:paraId="20AB21F3" w14:textId="488DA843">
      <w:pPr>
        <w:pStyle w:val="ATHeading3"/>
      </w:pPr>
      <w:bookmarkStart w:id="5" w:name="Sujet"/>
      <w:r w:rsidRPr="00146196">
        <w:t>Usnesení Evropského parlamentu ze dne</w:t>
      </w:r>
      <w:r w:rsidR="00A2035C">
        <w:t xml:space="preserve"> </w:t>
      </w:r>
      <w:r w:rsidR="00E660F9">
        <w:t>18</w:t>
      </w:r>
      <w:r w:rsidR="00A2035C">
        <w:t>. června</w:t>
      </w:r>
      <w:r w:rsidRPr="00146196">
        <w:t xml:space="preserve"> 2026 o návrhu prováděcího rozhodnutí Komise o financování ročního akčního plánu ve prospěch Sjednocené republiky Tanzanie na rok 2026</w:t>
      </w:r>
      <w:bookmarkEnd w:id="5"/>
      <w:r w:rsidRPr="00146196">
        <w:t xml:space="preserve"> </w:t>
      </w:r>
      <w:bookmarkStart w:id="6" w:name="References"/>
      <w:r w:rsidRPr="00146196">
        <w:t>(D115284/</w:t>
      </w:r>
      <w:r w:rsidRPr="00146196">
        <w:t>01 – 2026</w:t>
      </w:r>
      <w:r w:rsidRPr="00146196">
        <w:t>/2749(RSP))</w:t>
      </w:r>
      <w:bookmarkEnd w:id="6"/>
    </w:p>
    <w:p w:rsidR="00802E6A" w:rsidRPr="00146196" w:rsidP="00802E6A" w14:paraId="0A56E580" w14:textId="77777777">
      <w:pPr>
        <w:pStyle w:val="EPComma"/>
      </w:pPr>
      <w:bookmarkStart w:id="7" w:name="TextBodyBegin"/>
      <w:bookmarkEnd w:id="7"/>
      <w:r w:rsidRPr="00146196">
        <w:rPr>
          <w:i/>
        </w:rPr>
        <w:t>Evropský parlament</w:t>
      </w:r>
      <w:r w:rsidRPr="00146196">
        <w:t>,</w:t>
      </w:r>
    </w:p>
    <w:p w:rsidR="00802E6A" w:rsidRPr="00146196" w:rsidP="00802E6A" w14:paraId="42AF14D9" w14:textId="77777777">
      <w:pPr>
        <w:pStyle w:val="NormalHanging12a"/>
      </w:pPr>
      <w:r w:rsidRPr="00146196">
        <w:t>–</w:t>
      </w:r>
      <w:r w:rsidRPr="00146196">
        <w:tab/>
        <w:t>s ohledem na návrh prováděcího rozhodnutí Komise o financování ročního akčního plánu ve prospěch Sjednocené republiky Tanzanie na rok 2026 (D115284/01),</w:t>
      </w:r>
    </w:p>
    <w:p w:rsidR="00802E6A" w:rsidRPr="00146196" w:rsidP="00802E6A" w14:paraId="51BFAF42" w14:textId="77777777">
      <w:pPr>
        <w:pStyle w:val="NormalHanging12a"/>
      </w:pPr>
      <w:r w:rsidRPr="00146196">
        <w:t>–</w:t>
      </w:r>
      <w:r w:rsidRPr="00146196">
        <w:tab/>
        <w:t>s ohledem na nařízení Evropského parlamentu a Rady (EU) 2021/947 ze dne 9. června 2021, kterým se zřizuje Nástroj pro sousedství a rozvojovou a mezinárodní spolupráci – Globální Evropa, mění a zrušuje rozhodnutí Evropského parlamentu a Rady č. 466/2014/EU a zrušují nařízení Evropského parlamentu a Rady (EU) 2017/1601 a nařízení Rady (ES, Euratom) č. 480/2009</w:t>
      </w:r>
      <w:r>
        <w:rPr>
          <w:vertAlign w:val="superscript"/>
        </w:rPr>
        <w:footnoteReference w:id="2"/>
      </w:r>
      <w:r w:rsidRPr="00146196">
        <w:t xml:space="preserve"> (nařízení o nástroji NDICI – Globální Evropa), a zejména na článek 25 tohoto nařízení,</w:t>
      </w:r>
    </w:p>
    <w:p w:rsidR="00802E6A" w:rsidRPr="00146196" w:rsidP="00802E6A" w14:paraId="41B35C6E" w14:textId="77777777">
      <w:pPr>
        <w:pStyle w:val="NormalHanging12a"/>
      </w:pPr>
      <w:r w:rsidRPr="00146196">
        <w:t>–</w:t>
      </w:r>
      <w:r w:rsidRPr="00146196">
        <w:tab/>
        <w:t>s ohledem na stanovisko výboru uvedeného v článku 45 výše uvedeného nařízení (EU) 2021/947 ze dne 20. května 2026,</w:t>
      </w:r>
    </w:p>
    <w:p w:rsidR="00802E6A" w:rsidRPr="00146196" w:rsidP="00802E6A" w14:paraId="18EDBF8E" w14:textId="77777777">
      <w:pPr>
        <w:pStyle w:val="NormalHanging12a"/>
      </w:pPr>
      <w:r w:rsidRPr="00146196">
        <w:t>–</w:t>
      </w:r>
      <w:r w:rsidRPr="00146196">
        <w:tab/>
        <w:t>s ohledem na článek 11 nařízení Evropského parlamentu a Rady (EU) č. 182/2011 ze dne 16. února 2011, kterým se stanoví pravidla a obecné zásady způsobu, jakým členské státy kontrolují Komisi při výkonu prováděcích pravomocí</w:t>
      </w:r>
      <w:r>
        <w:rPr>
          <w:vertAlign w:val="superscript"/>
        </w:rPr>
        <w:footnoteReference w:id="3"/>
      </w:r>
      <w:r w:rsidRPr="00146196">
        <w:t>,</w:t>
      </w:r>
    </w:p>
    <w:p w:rsidR="00802E6A" w:rsidRPr="00146196" w:rsidP="00802E6A" w14:paraId="73DA6B05" w14:textId="77777777">
      <w:pPr>
        <w:pStyle w:val="NormalHanging12a"/>
      </w:pPr>
      <w:r w:rsidRPr="00146196">
        <w:t>–</w:t>
      </w:r>
      <w:r w:rsidRPr="00146196">
        <w:tab/>
        <w:t>s ohledem na usnesení Evropského parlamentu ze dne 27. listopadu 2025 o návrhu prováděcího rozhodnutí Komise o financování ročního akčního plánu ve prospěch Sjednocené republiky Tanzanie na rok 2025</w:t>
      </w:r>
      <w:r>
        <w:rPr>
          <w:vertAlign w:val="superscript"/>
        </w:rPr>
        <w:footnoteReference w:id="4"/>
      </w:r>
      <w:r w:rsidRPr="00146196">
        <w:t>,</w:t>
      </w:r>
    </w:p>
    <w:p w:rsidR="00802E6A" w:rsidRPr="00146196" w:rsidP="00802E6A" w14:paraId="1D48A71D" w14:textId="77777777">
      <w:pPr>
        <w:pStyle w:val="NormalHanging12a"/>
      </w:pPr>
      <w:r w:rsidRPr="00146196">
        <w:t>–</w:t>
      </w:r>
      <w:r w:rsidRPr="00146196">
        <w:tab/>
        <w:t xml:space="preserve">s ohledem na usnesení Evropského parlamentu ze dne 27. listopadu 2025 o povolebním zabíjení a zhoršení situace v oblasti lidských práv v Tanzanii, včetně případu </w:t>
      </w:r>
      <w:r w:rsidRPr="00146196">
        <w:t xml:space="preserve">uvězněného opozičního vůdce </w:t>
      </w:r>
      <w:r w:rsidRPr="00146196">
        <w:t>Tundua</w:t>
      </w:r>
      <w:r w:rsidRPr="00146196">
        <w:t xml:space="preserve"> </w:t>
      </w:r>
      <w:r w:rsidRPr="00146196">
        <w:t>Lissua</w:t>
      </w:r>
      <w:r w:rsidRPr="00146196">
        <w:t>,</w:t>
      </w:r>
    </w:p>
    <w:p w:rsidR="00802E6A" w:rsidRPr="00146196" w:rsidP="00802E6A" w14:paraId="073FC69A" w14:textId="77777777">
      <w:pPr>
        <w:pStyle w:val="NormalHanging12a"/>
      </w:pPr>
      <w:r w:rsidRPr="00146196">
        <w:t>–</w:t>
      </w:r>
      <w:r w:rsidRPr="00146196">
        <w:tab/>
        <w:t xml:space="preserve">s ohledem na usnesení Evropského parlamentu ze dne 8. května 2025 o zatčení a riziku popravy </w:t>
      </w:r>
      <w:r w:rsidRPr="00146196">
        <w:t>Tundua</w:t>
      </w:r>
      <w:r w:rsidRPr="00146196">
        <w:t xml:space="preserve"> </w:t>
      </w:r>
      <w:r w:rsidRPr="00146196">
        <w:t>Lissua</w:t>
      </w:r>
      <w:r w:rsidRPr="00146196">
        <w:t xml:space="preserve">, předsedy strany </w:t>
      </w:r>
      <w:r w:rsidRPr="00146196">
        <w:t>Chadema</w:t>
      </w:r>
      <w:r w:rsidRPr="00146196">
        <w:t>, hlavní opoziční strany v Tanzanii,</w:t>
      </w:r>
    </w:p>
    <w:p w:rsidR="00802E6A" w:rsidRPr="00146196" w:rsidP="00802E6A" w14:paraId="34B2A4DD" w14:textId="77777777">
      <w:pPr>
        <w:pStyle w:val="NormalHanging12a"/>
      </w:pPr>
      <w:r w:rsidRPr="00146196">
        <w:t>–</w:t>
      </w:r>
      <w:r w:rsidRPr="00146196">
        <w:tab/>
        <w:t>s ohledem na čl. 115 odst. 2 a 3 jednacího řádu,</w:t>
      </w:r>
    </w:p>
    <w:p w:rsidR="00802E6A" w:rsidRPr="00146196" w:rsidP="00802E6A" w14:paraId="446B7E7D" w14:textId="77777777">
      <w:pPr>
        <w:pStyle w:val="NormalHanging12a"/>
      </w:pPr>
      <w:r w:rsidRPr="00146196">
        <w:t>–</w:t>
      </w:r>
      <w:r w:rsidRPr="00146196">
        <w:tab/>
        <w:t>s ohledem na společná jednání Výboru pro zahraniční věci a Výboru pro rozvoj podle článku 59 jednacího řádu,</w:t>
      </w:r>
    </w:p>
    <w:p w:rsidR="00802E6A" w:rsidRPr="00146196" w:rsidP="00802E6A" w14:paraId="6AE050D5" w14:textId="77777777">
      <w:pPr>
        <w:pStyle w:val="NormalHanging12a"/>
      </w:pPr>
      <w:r w:rsidRPr="00146196">
        <w:t>–</w:t>
      </w:r>
      <w:r w:rsidRPr="00146196">
        <w:tab/>
        <w:t>s ohledem na návrh usnesení Výboru pro zahraniční věci a Výboru pro rozvoj,</w:t>
      </w:r>
    </w:p>
    <w:p w:rsidR="00802E6A" w:rsidRPr="00146196" w:rsidP="00802E6A" w14:paraId="3A89E9E6" w14:textId="77777777">
      <w:pPr>
        <w:pStyle w:val="NormalHanging12a"/>
      </w:pPr>
      <w:r w:rsidRPr="00146196">
        <w:t>A.</w:t>
      </w:r>
      <w:r w:rsidRPr="00146196">
        <w:tab/>
        <w:t>vzhledem k tomu, že v listopadu 2025 Komise kvůli obavám vyjádřeným Evropským parlamentem pozastavila proces přijímání návrhu prováděcího rozhodnutí o financování ročního akčního plánu ve prospěch Sjednocené republiky Tanzanie na rok 2025;</w:t>
      </w:r>
    </w:p>
    <w:p w:rsidR="00802E6A" w:rsidRPr="00146196" w:rsidP="00802E6A" w14:paraId="57DEF365" w14:textId="77777777">
      <w:pPr>
        <w:pStyle w:val="NormalHanging12a"/>
      </w:pPr>
      <w:r w:rsidRPr="00146196">
        <w:t>B.</w:t>
      </w:r>
      <w:r w:rsidRPr="00146196">
        <w:tab/>
        <w:t>vzhledem k tomu, že dne 20. května 2026 byl revidovaný návrh prováděcího rozhodnutí Komise předložen výboru pro nástroj NDICI;</w:t>
      </w:r>
    </w:p>
    <w:p w:rsidR="00802E6A" w:rsidRPr="00146196" w:rsidP="00802E6A" w14:paraId="1F2C578A" w14:textId="77777777">
      <w:pPr>
        <w:pStyle w:val="NormalHanging12a"/>
      </w:pPr>
      <w:r w:rsidRPr="00146196">
        <w:t>C.</w:t>
      </w:r>
      <w:r w:rsidRPr="00146196">
        <w:tab/>
        <w:t>vzhledem k tomu, že revidovaný návrh prováděcího rozhodnutí Komise zachovává stejnou celkovou částku a v zásadě stejná opatření jako předchozí návrh rozhodnutí, přičemž navrhuje, aby provádění probíhalo především prostřednictvím nepřímého řízení, a nikoli přímou rozpočtovou podporou tanzanských orgánů;</w:t>
      </w:r>
    </w:p>
    <w:p w:rsidR="00802E6A" w:rsidRPr="00146196" w:rsidP="00802E6A" w14:paraId="0327078D" w14:textId="77777777">
      <w:pPr>
        <w:pStyle w:val="NormalHanging12a"/>
      </w:pPr>
      <w:r w:rsidRPr="00146196">
        <w:t>D.</w:t>
      </w:r>
      <w:r w:rsidRPr="00146196">
        <w:tab/>
        <w:t xml:space="preserve">vzhledem k tomu, že dne 23. dubna 2026 tanzanská národní vyšetřovací komise, která vyšetřuje násilí, jež doprovázelo volby konané 29. října 2025, potvrdila, že zemřelo nejméně 518 osob, ale neidentifikovala odpovědné osoby, čímž zabránila vyvození odpovědnosti a zajištění spravedlnosti pro oběti, přičemž však svá zjištění nezveřejnila; </w:t>
      </w:r>
    </w:p>
    <w:p w:rsidR="00802E6A" w:rsidRPr="00146196" w:rsidP="00802E6A" w14:paraId="0B596B77" w14:textId="77777777">
      <w:pPr>
        <w:pStyle w:val="NormalHanging12a"/>
      </w:pPr>
      <w:r w:rsidRPr="00146196">
        <w:t>E.</w:t>
      </w:r>
      <w:r w:rsidRPr="00146196">
        <w:tab/>
        <w:t>vzhledem k tomu, že tanzanské orgány odmítly návštěvu delegace Podvýboru Evropského parlamentu pro lidská práva v květnu 2026;</w:t>
      </w:r>
    </w:p>
    <w:p w:rsidR="00802E6A" w:rsidRPr="00146196" w:rsidP="00802E6A" w14:paraId="007C7367" w14:textId="77777777">
      <w:pPr>
        <w:pStyle w:val="NormalHanging12a"/>
      </w:pPr>
      <w:r w:rsidRPr="00146196">
        <w:t>F.</w:t>
      </w:r>
      <w:r w:rsidRPr="00146196">
        <w:tab/>
        <w:t xml:space="preserve">vzhledem k tomu, že </w:t>
      </w:r>
      <w:r w:rsidRPr="00146196">
        <w:t>Tundu</w:t>
      </w:r>
      <w:r w:rsidRPr="00146196">
        <w:t xml:space="preserve"> </w:t>
      </w:r>
      <w:r w:rsidRPr="00146196">
        <w:t>Lissu</w:t>
      </w:r>
      <w:r w:rsidRPr="00146196">
        <w:t xml:space="preserve">, vůdce hlavní tanzanské opoziční strany </w:t>
      </w:r>
      <w:r w:rsidRPr="00146196">
        <w:t>Chadema</w:t>
      </w:r>
      <w:r w:rsidRPr="00146196">
        <w:t xml:space="preserve">, je již </w:t>
      </w:r>
      <w:r w:rsidRPr="00146196">
        <w:t>déle</w:t>
      </w:r>
      <w:r w:rsidRPr="00146196">
        <w:t xml:space="preserve"> než rok zadržován a čelí politicky motivovaným obviněním se závažnými právními důsledky, včetně trestu smrti;</w:t>
      </w:r>
    </w:p>
    <w:p w:rsidR="00802E6A" w:rsidRPr="00146196" w:rsidP="00802E6A" w14:paraId="4163DF3F" w14:textId="77777777">
      <w:pPr>
        <w:pStyle w:val="NormalHanging12a"/>
      </w:pPr>
      <w:r w:rsidRPr="00146196">
        <w:t>G.</w:t>
      </w:r>
      <w:r w:rsidRPr="00146196">
        <w:tab/>
        <w:t>vzhledem k tomu, že tanzanská vláda nesplnila žádný z požadavků, které Evropský parlament předložil ve svých usneseních ze dne 8. května a 27. listopadu 2025, mimo jiné také pokud jde o výzvu k okamžitému a bezpodmínečnému propuštění členů opozice, ke zlepšení situace v oblasti lidských práv a ke zřízení nezávislé a nestranné mezinárodní vyšetřovací komise, která by vyšetřila povolební násilí;</w:t>
      </w:r>
    </w:p>
    <w:p w:rsidR="00802E6A" w:rsidRPr="00146196" w:rsidP="00802E6A" w14:paraId="2F783E3F" w14:textId="77777777">
      <w:pPr>
        <w:pStyle w:val="NormalHanging12a"/>
      </w:pPr>
      <w:r w:rsidRPr="00146196">
        <w:t>H.</w:t>
      </w:r>
      <w:r w:rsidRPr="00146196">
        <w:tab/>
        <w:t>vzhledem k tomu, že Komise a Evropská služba pro vnější činnost účinně neprokázaly, že by vyřešily skutečné obavy, které v listopadu 2025 vedly k nesouhlasu;</w:t>
      </w:r>
    </w:p>
    <w:p w:rsidR="00802E6A" w:rsidRPr="00146196" w:rsidP="00802E6A" w14:paraId="32F8C470" w14:textId="77777777">
      <w:pPr>
        <w:pStyle w:val="NormalHanging12a"/>
      </w:pPr>
      <w:r w:rsidRPr="00146196">
        <w:t>1.</w:t>
      </w:r>
      <w:r w:rsidRPr="00146196">
        <w:tab/>
        <w:t>domnívá se, že návrh prováděcího rozhodnutí Komise překračuje prováděcí pravomoci stanovené v nařízení (EU) 2021/947;</w:t>
      </w:r>
    </w:p>
    <w:p w:rsidR="00802E6A" w:rsidRPr="00146196" w:rsidP="00802E6A" w14:paraId="0C94D674" w14:textId="77777777">
      <w:pPr>
        <w:pStyle w:val="NormalHanging12a"/>
      </w:pPr>
      <w:r w:rsidRPr="00146196">
        <w:t>2.</w:t>
      </w:r>
      <w:r w:rsidRPr="00146196">
        <w:tab/>
        <w:t>domnívá se, že návrh prováděcího rozhodnutí Komise není v souladu s právními předpisy Unie, neboť není slučitelný s cílem nařízení (EU) 2021/947;</w:t>
      </w:r>
    </w:p>
    <w:p w:rsidR="00802E6A" w:rsidRPr="00146196" w:rsidP="00802E6A" w14:paraId="44F3EAD8" w14:textId="77777777">
      <w:pPr>
        <w:pStyle w:val="NormalHanging12a"/>
      </w:pPr>
      <w:r w:rsidRPr="00146196">
        <w:t>3.</w:t>
      </w:r>
      <w:r w:rsidRPr="00146196">
        <w:tab/>
        <w:t xml:space="preserve">domnívá se, že návrh prováděcího rozhodnutí Komise dostatečně nezohledňuje obavy, </w:t>
      </w:r>
      <w:r w:rsidRPr="00146196">
        <w:t>které vyjádřil Evropský parlament ve svém usnesení ze dne 27. listopadu 2025;</w:t>
      </w:r>
    </w:p>
    <w:p w:rsidR="00802E6A" w:rsidRPr="00146196" w:rsidP="00802E6A" w14:paraId="5C853DFA" w14:textId="77777777">
      <w:pPr>
        <w:pStyle w:val="NormalHanging12a"/>
      </w:pPr>
      <w:r w:rsidRPr="00146196">
        <w:t>4.</w:t>
      </w:r>
      <w:r w:rsidRPr="00146196">
        <w:tab/>
        <w:t>vyjadřuje politování nad tím, že Komise ani v tomto případě nepozastavila proces přijímání návrhu prováděcího rozhodnutí poté, co byla informována o obavách Evropského parlamentu; vyjadřuje politování nad tím, že Komise a ESVČ nevěnují dostatečnou pozornost obavám, které vyjádřil Evropský parlament ve svých usneseních týkajících se Tanzanie;</w:t>
      </w:r>
    </w:p>
    <w:p w:rsidR="00802E6A" w:rsidRPr="00146196" w:rsidP="00802E6A" w14:paraId="7EA79408" w14:textId="77777777">
      <w:pPr>
        <w:pStyle w:val="NormalHanging12a"/>
      </w:pPr>
      <w:r w:rsidRPr="00146196">
        <w:t>5.</w:t>
      </w:r>
      <w:r w:rsidRPr="00146196">
        <w:tab/>
        <w:t>vyzývá Komisi, aby stáhla svůj návrh prováděcího rozhodnutí a předložila výboru nový návrh a zároveň zajistila, aby žádné nové změny neměly nepříznivý dopad na inkluzivní poskytování základních služeb obyvatelstvu, ochranu lidských práv a demokracie nebo podporu organizací občanské společnosti;</w:t>
      </w:r>
    </w:p>
    <w:p w:rsidR="00146196" w:rsidRPr="00146196" w:rsidP="00146196" w14:paraId="7DE6EC8A" w14:textId="39DEE109">
      <w:pPr>
        <w:pStyle w:val="NormalHanging12a"/>
      </w:pPr>
      <w:r w:rsidRPr="00146196">
        <w:t>6.</w:t>
      </w:r>
      <w:r w:rsidRPr="00146196">
        <w:tab/>
        <w:t>pověřuje svou předsedkyni, aby předala toto usnesení Radě a Komisi, jakož i vládám a parlamentům členských států.</w:t>
      </w:r>
    </w:p>
    <w:p w:rsidR="00E365E1" w:rsidRPr="00146196" w:rsidP="00FA093A" w14:paraId="46B3A7C9" w14:textId="40050578"/>
    <w:sectPr w:rsidSect="0014619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6196" w14:paraId="3C6F76A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6196" w14:paraId="7E79E5A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6196" w14:paraId="45C3450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A093A" w:rsidRPr="00146196" w14:paraId="670AE000" w14:textId="77777777">
      <w:r w:rsidRPr="00146196">
        <w:separator/>
      </w:r>
    </w:p>
  </w:footnote>
  <w:footnote w:type="continuationSeparator" w:id="1">
    <w:p w:rsidR="00FA093A" w:rsidRPr="00146196" w14:paraId="66427B6A" w14:textId="77777777">
      <w:r w:rsidRPr="00146196">
        <w:continuationSeparator/>
      </w:r>
    </w:p>
  </w:footnote>
  <w:footnote w:id="2">
    <w:p w:rsidR="00802E6A" w:rsidRPr="00146196" w:rsidP="00146196" w14:paraId="44597636" w14:textId="3DFCEF2C">
      <w:pPr>
        <w:pStyle w:val="FootnoteText"/>
        <w:ind w:left="567" w:hanging="567"/>
        <w:rPr>
          <w:sz w:val="24"/>
          <w:szCs w:val="24"/>
          <w:lang w:val="cs-CZ"/>
        </w:rPr>
      </w:pPr>
      <w:r w:rsidRPr="00146196">
        <w:rPr>
          <w:rStyle w:val="FootnoteReference"/>
          <w:sz w:val="24"/>
          <w:lang w:val="cs-CZ"/>
        </w:rPr>
        <w:footnoteRef/>
      </w:r>
      <w:r w:rsidRPr="00146196" w:rsidR="00146196">
        <w:rPr>
          <w:sz w:val="24"/>
          <w:lang w:val="cs-CZ"/>
        </w:rPr>
        <w:t xml:space="preserve"> </w:t>
      </w:r>
      <w:r w:rsidRPr="00146196" w:rsidR="00146196">
        <w:rPr>
          <w:sz w:val="24"/>
          <w:lang w:val="cs-CZ"/>
        </w:rPr>
        <w:tab/>
      </w:r>
      <w:r w:rsidRPr="00146196">
        <w:rPr>
          <w:sz w:val="24"/>
          <w:lang w:val="cs-CZ"/>
        </w:rPr>
        <w:t>Úř</w:t>
      </w:r>
      <w:r w:rsidRPr="00146196">
        <w:rPr>
          <w:sz w:val="24"/>
          <w:lang w:val="cs-CZ"/>
        </w:rPr>
        <w:t xml:space="preserve">. </w:t>
      </w:r>
      <w:r w:rsidRPr="00146196">
        <w:rPr>
          <w:sz w:val="24"/>
          <w:lang w:val="cs-CZ"/>
        </w:rPr>
        <w:t>věst</w:t>
      </w:r>
      <w:r w:rsidRPr="00146196">
        <w:rPr>
          <w:sz w:val="24"/>
          <w:lang w:val="cs-CZ"/>
        </w:rPr>
        <w:t xml:space="preserve">. L 209, 14.6.2021, s. 1, ELI: </w:t>
      </w:r>
      <w:hyperlink r:id="rId1" w:tgtFrame="http://data.europa.eu/eli/reg/2021/947/oj" w:history="1">
        <w:r w:rsidRPr="00146196">
          <w:rPr>
            <w:rStyle w:val="Hyperlink"/>
            <w:sz w:val="24"/>
            <w:lang w:val="cs-CZ"/>
          </w:rPr>
          <w:t>http://data.europa.eu/eli/reg/2021/947/oj.</w:t>
        </w:r>
      </w:hyperlink>
    </w:p>
  </w:footnote>
  <w:footnote w:id="3">
    <w:p w:rsidR="00802E6A" w:rsidRPr="00146196" w:rsidP="00146196" w14:paraId="3718BBD3" w14:textId="0C60AC16">
      <w:pPr>
        <w:pStyle w:val="FootnoteText"/>
        <w:ind w:left="567" w:hanging="567"/>
        <w:rPr>
          <w:sz w:val="24"/>
          <w:lang w:val="cs-CZ"/>
        </w:rPr>
      </w:pPr>
      <w:r w:rsidRPr="00146196">
        <w:rPr>
          <w:rStyle w:val="FootnoteReference"/>
          <w:sz w:val="24"/>
          <w:szCs w:val="24"/>
          <w:lang w:val="cs-CZ"/>
        </w:rPr>
        <w:footnoteRef/>
      </w:r>
      <w:r w:rsidRPr="00146196" w:rsidR="00146196">
        <w:rPr>
          <w:sz w:val="24"/>
          <w:lang w:val="cs-CZ"/>
        </w:rPr>
        <w:t xml:space="preserve"> </w:t>
      </w:r>
      <w:r w:rsidRPr="00146196" w:rsidR="00146196">
        <w:rPr>
          <w:sz w:val="24"/>
          <w:lang w:val="cs-CZ"/>
        </w:rPr>
        <w:tab/>
      </w:r>
      <w:r w:rsidRPr="00146196">
        <w:rPr>
          <w:sz w:val="24"/>
          <w:lang w:val="cs-CZ"/>
        </w:rPr>
        <w:t>Úř</w:t>
      </w:r>
      <w:r w:rsidRPr="00146196">
        <w:rPr>
          <w:sz w:val="24"/>
          <w:lang w:val="cs-CZ"/>
        </w:rPr>
        <w:t xml:space="preserve">. </w:t>
      </w:r>
      <w:r w:rsidRPr="00146196">
        <w:rPr>
          <w:sz w:val="24"/>
          <w:lang w:val="cs-CZ"/>
        </w:rPr>
        <w:t>věst</w:t>
      </w:r>
      <w:r w:rsidRPr="00146196">
        <w:rPr>
          <w:sz w:val="24"/>
          <w:lang w:val="cs-CZ"/>
        </w:rPr>
        <w:t xml:space="preserve">. L 55, 28.2.2011, s. 13, ELI: </w:t>
      </w:r>
      <w:hyperlink r:id="rId2" w:tooltip="Umožňuje přístup k tomuto dokumentu prostřednictvím jeho identifikátoru URI v rámci ELI." w:history="1">
        <w:r w:rsidRPr="00146196">
          <w:rPr>
            <w:rStyle w:val="Hyperlink"/>
            <w:sz w:val="24"/>
            <w:lang w:val="cs-CZ"/>
          </w:rPr>
          <w:t>http://data.europa.eu/eli/reg/2011/182/oj</w:t>
        </w:r>
      </w:hyperlink>
      <w:r w:rsidRPr="00146196">
        <w:rPr>
          <w:rStyle w:val="Hyperlink"/>
          <w:sz w:val="24"/>
          <w:lang w:val="cs-CZ"/>
        </w:rPr>
        <w:t>.</w:t>
      </w:r>
    </w:p>
  </w:footnote>
  <w:footnote w:id="4">
    <w:p w:rsidR="00802E6A" w:rsidRPr="00146196" w:rsidP="00146196" w14:paraId="4AEA6F0F" w14:textId="3D299F8E">
      <w:pPr>
        <w:pStyle w:val="FootnoteText"/>
        <w:ind w:left="567" w:hanging="567"/>
        <w:rPr>
          <w:sz w:val="24"/>
          <w:lang w:val="cs-CZ"/>
        </w:rPr>
      </w:pPr>
      <w:r w:rsidRPr="00146196">
        <w:rPr>
          <w:rStyle w:val="FootnoteReference"/>
          <w:sz w:val="24"/>
          <w:lang w:val="cs-CZ"/>
        </w:rPr>
        <w:footnoteRef/>
      </w:r>
      <w:r w:rsidRPr="00146196" w:rsidR="00146196">
        <w:rPr>
          <w:sz w:val="24"/>
          <w:lang w:val="cs-CZ"/>
        </w:rPr>
        <w:t xml:space="preserve"> </w:t>
      </w:r>
      <w:r w:rsidRPr="00146196" w:rsidR="00146196">
        <w:rPr>
          <w:sz w:val="24"/>
          <w:lang w:val="cs-CZ"/>
        </w:rPr>
        <w:tab/>
      </w:r>
      <w:r w:rsidRPr="00146196">
        <w:rPr>
          <w:sz w:val="24"/>
          <w:lang w:val="cs-CZ"/>
        </w:rPr>
        <w:t>Přijaté texty, P10_</w:t>
      </w:r>
      <w:r w:rsidRPr="00146196">
        <w:rPr>
          <w:sz w:val="24"/>
          <w:lang w:val="cs-CZ"/>
        </w:rPr>
        <w:t>TA(</w:t>
      </w:r>
      <w:r w:rsidRPr="00146196">
        <w:rPr>
          <w:sz w:val="24"/>
          <w:lang w:val="cs-CZ"/>
        </w:rPr>
        <w:t>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6196" w14:paraId="5E25D50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6196" w14:paraId="5BA1FF0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6196" w14:paraId="69C440D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0431009">
    <w:abstractNumId w:val="9"/>
  </w:num>
  <w:num w:numId="2" w16cid:durableId="1328022086">
    <w:abstractNumId w:val="9"/>
  </w:num>
  <w:num w:numId="3" w16cid:durableId="1567570216">
    <w:abstractNumId w:val="7"/>
  </w:num>
  <w:num w:numId="4" w16cid:durableId="1541357913">
    <w:abstractNumId w:val="7"/>
  </w:num>
  <w:num w:numId="5" w16cid:durableId="543103180">
    <w:abstractNumId w:val="6"/>
  </w:num>
  <w:num w:numId="6" w16cid:durableId="118568607">
    <w:abstractNumId w:val="6"/>
  </w:num>
  <w:num w:numId="7" w16cid:durableId="1803889083">
    <w:abstractNumId w:val="5"/>
  </w:num>
  <w:num w:numId="8" w16cid:durableId="1303970361">
    <w:abstractNumId w:val="5"/>
  </w:num>
  <w:num w:numId="9" w16cid:durableId="78914498">
    <w:abstractNumId w:val="4"/>
  </w:num>
  <w:num w:numId="10" w16cid:durableId="1320186029">
    <w:abstractNumId w:val="4"/>
  </w:num>
  <w:num w:numId="11" w16cid:durableId="2024935514">
    <w:abstractNumId w:val="8"/>
  </w:num>
  <w:num w:numId="12" w16cid:durableId="1159004285">
    <w:abstractNumId w:val="8"/>
  </w:num>
  <w:num w:numId="13" w16cid:durableId="1268735965">
    <w:abstractNumId w:val="3"/>
  </w:num>
  <w:num w:numId="14" w16cid:durableId="584655535">
    <w:abstractNumId w:val="3"/>
  </w:num>
  <w:num w:numId="15" w16cid:durableId="206112990">
    <w:abstractNumId w:val="2"/>
  </w:num>
  <w:num w:numId="16" w16cid:durableId="973825480">
    <w:abstractNumId w:val="2"/>
  </w:num>
  <w:num w:numId="17" w16cid:durableId="308441550">
    <w:abstractNumId w:val="1"/>
  </w:num>
  <w:num w:numId="18" w16cid:durableId="1282878071">
    <w:abstractNumId w:val="1"/>
  </w:num>
  <w:num w:numId="19" w16cid:durableId="177080461">
    <w:abstractNumId w:val="0"/>
  </w:num>
  <w:num w:numId="20" w16cid:durableId="2060933544">
    <w:abstractNumId w:val="0"/>
  </w:num>
  <w:num w:numId="21" w16cid:durableId="290946142">
    <w:abstractNumId w:val="9"/>
  </w:num>
  <w:num w:numId="22" w16cid:durableId="1006204441">
    <w:abstractNumId w:val="7"/>
  </w:num>
  <w:num w:numId="23" w16cid:durableId="599879368">
    <w:abstractNumId w:val="6"/>
  </w:num>
  <w:num w:numId="24" w16cid:durableId="721173323">
    <w:abstractNumId w:val="5"/>
  </w:num>
  <w:num w:numId="25" w16cid:durableId="1519848954">
    <w:abstractNumId w:val="4"/>
  </w:num>
  <w:num w:numId="26" w16cid:durableId="1457874818">
    <w:abstractNumId w:val="8"/>
  </w:num>
  <w:num w:numId="27" w16cid:durableId="1170872198">
    <w:abstractNumId w:val="3"/>
  </w:num>
  <w:num w:numId="28" w16cid:durableId="1976325089">
    <w:abstractNumId w:val="2"/>
  </w:num>
  <w:num w:numId="29" w16cid:durableId="1007249236">
    <w:abstractNumId w:val="1"/>
  </w:num>
  <w:num w:numId="30" w16cid:durableId="709766983">
    <w:abstractNumId w:val="0"/>
  </w:num>
  <w:num w:numId="31" w16cid:durableId="905795748">
    <w:abstractNumId w:val="9"/>
  </w:num>
  <w:num w:numId="32" w16cid:durableId="407506607">
    <w:abstractNumId w:val="7"/>
  </w:num>
  <w:num w:numId="33" w16cid:durableId="1933926071">
    <w:abstractNumId w:val="6"/>
  </w:num>
  <w:num w:numId="34" w16cid:durableId="1908563246">
    <w:abstractNumId w:val="5"/>
  </w:num>
  <w:num w:numId="35" w16cid:durableId="1565944011">
    <w:abstractNumId w:val="4"/>
  </w:num>
  <w:num w:numId="36" w16cid:durableId="925764492">
    <w:abstractNumId w:val="8"/>
  </w:num>
  <w:num w:numId="37" w16cid:durableId="1814179472">
    <w:abstractNumId w:val="3"/>
  </w:num>
  <w:num w:numId="38" w16cid:durableId="519247146">
    <w:abstractNumId w:val="2"/>
  </w:num>
  <w:num w:numId="39" w16cid:durableId="726804968">
    <w:abstractNumId w:val="1"/>
  </w:num>
  <w:num w:numId="40" w16cid:durableId="18555202">
    <w:abstractNumId w:val="0"/>
  </w:num>
  <w:num w:numId="41" w16cid:durableId="1157839021">
    <w:abstractNumId w:val="10"/>
  </w:num>
  <w:num w:numId="42" w16cid:durableId="294993752">
    <w:abstractNumId w:val="10"/>
  </w:num>
  <w:num w:numId="43" w16cid:durableId="457377938">
    <w:abstractNumId w:val="10"/>
  </w:num>
  <w:num w:numId="44" w16cid:durableId="934484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3A"/>
    <w:rsid w:val="00002272"/>
    <w:rsid w:val="00064002"/>
    <w:rsid w:val="000677B9"/>
    <w:rsid w:val="000831BA"/>
    <w:rsid w:val="00096EAE"/>
    <w:rsid w:val="000A42CC"/>
    <w:rsid w:val="000E7DD9"/>
    <w:rsid w:val="0010095E"/>
    <w:rsid w:val="00125B37"/>
    <w:rsid w:val="00146196"/>
    <w:rsid w:val="00187494"/>
    <w:rsid w:val="001F32AE"/>
    <w:rsid w:val="00233672"/>
    <w:rsid w:val="002767FF"/>
    <w:rsid w:val="002B18FE"/>
    <w:rsid w:val="002B5493"/>
    <w:rsid w:val="00343214"/>
    <w:rsid w:val="00361C00"/>
    <w:rsid w:val="00395FA1"/>
    <w:rsid w:val="003E15D4"/>
    <w:rsid w:val="004024E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DF0"/>
    <w:rsid w:val="00731ADD"/>
    <w:rsid w:val="00734777"/>
    <w:rsid w:val="00747932"/>
    <w:rsid w:val="00751A4A"/>
    <w:rsid w:val="00756632"/>
    <w:rsid w:val="00762C74"/>
    <w:rsid w:val="00786EC0"/>
    <w:rsid w:val="007D1690"/>
    <w:rsid w:val="007E22AD"/>
    <w:rsid w:val="00802E6A"/>
    <w:rsid w:val="00817416"/>
    <w:rsid w:val="00820272"/>
    <w:rsid w:val="00842779"/>
    <w:rsid w:val="00865F67"/>
    <w:rsid w:val="00881A7B"/>
    <w:rsid w:val="008840E5"/>
    <w:rsid w:val="00887B3E"/>
    <w:rsid w:val="008C2AC6"/>
    <w:rsid w:val="0091297A"/>
    <w:rsid w:val="00930C23"/>
    <w:rsid w:val="0093193B"/>
    <w:rsid w:val="009509D8"/>
    <w:rsid w:val="00950B64"/>
    <w:rsid w:val="00981893"/>
    <w:rsid w:val="00A1687D"/>
    <w:rsid w:val="00A2035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60F9"/>
    <w:rsid w:val="00E820A4"/>
    <w:rsid w:val="00EB006A"/>
    <w:rsid w:val="00EB4772"/>
    <w:rsid w:val="00ED169E"/>
    <w:rsid w:val="00ED4235"/>
    <w:rsid w:val="00F04346"/>
    <w:rsid w:val="00F075DC"/>
    <w:rsid w:val="00F149E9"/>
    <w:rsid w:val="00F5134D"/>
    <w:rsid w:val="00F74202"/>
    <w:rsid w:val="00F87713"/>
    <w:rsid w:val="00FA093A"/>
    <w:rsid w:val="00FB4360"/>
    <w:rsid w:val="00FD0C70"/>
  </w:rsids>
  <w:docVars>
    <w:docVar w:name="dvdocse" w:val="B10-0273/2026"/>
    <w:docVar w:name="dvlangue" w:val="CS"/>
    <w:docVar w:name="dvnumam" w:val="0"/>
    <w:docVar w:name="dvpe" w:val="789.144"/>
    <w:docVar w:name="dvtitre" w:val="Usnesení Evropského parlamentu ze dne.... 2026 o návrhu prováděcího rozhodnutí Komise o financování ročního akčního plánu ve prospěch Sjednocené republiky Tanzanie na rok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BCA42F"/>
  <w15:chartTrackingRefBased/>
  <w15:docId w15:val="{8B52A4F2-2CCA-4C8B-9F8F-919A9A693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2E6A"/>
    <w:pPr>
      <w:spacing w:before="480" w:after="240"/>
    </w:pPr>
  </w:style>
  <w:style w:type="paragraph" w:customStyle="1" w:styleId="NormalHanging12a">
    <w:name w:val="NormalHanging12a"/>
    <w:basedOn w:val="Normal"/>
    <w:rsid w:val="00802E6A"/>
    <w:pPr>
      <w:spacing w:after="240"/>
      <w:ind w:left="567" w:hanging="567"/>
    </w:pPr>
  </w:style>
  <w:style w:type="character" w:styleId="Hyperlink">
    <w:name w:val="Hyperlink"/>
    <w:basedOn w:val="DefaultParagraphFont"/>
    <w:rsid w:val="00802E6A"/>
    <w:rPr>
      <w:color w:val="0563C1" w:themeColor="hyperlink"/>
      <w:u w:val="single"/>
    </w:rPr>
  </w:style>
  <w:style w:type="paragraph" w:styleId="Revision">
    <w:name w:val="Revision"/>
    <w:hidden/>
    <w:uiPriority w:val="99"/>
    <w:semiHidden/>
    <w:rsid w:val="00E660F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762</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2026-06-18T11:24:00Z</dcterms:created>
  <dcterms:modified xsi:type="dcterms:W3CDTF">2026-06-18T11:24:00Z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B10-0273/2026</vt:lpwstr>
  </property>
  <property fmtid="{D5CDD505-2E9C-101B-9397-08002B2CF9AE}" pid="4" name="&lt;Type&gt;">
    <vt:lpwstr>RR</vt:lpwstr>
  </property>
</Properties>
</file>