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E53E0E5" w14:textId="77777777" w:rsidTr="0010095E">
        <w:tblPrEx>
          <w:tblW w:w="9072" w:type="dxa"/>
          <w:tblLook w:val="01E0"/>
        </w:tblPrEx>
        <w:trPr>
          <w:trHeight w:hRule="exact" w:val="1418"/>
        </w:trPr>
        <w:tc>
          <w:tcPr>
            <w:tcW w:w="6804" w:type="dxa"/>
            <w:shd w:val="clear" w:color="auto" w:fill="auto"/>
            <w:vAlign w:val="center"/>
          </w:tcPr>
          <w:p w:rsidR="00751A4A" w:rsidRPr="005B0110" w:rsidP="0010095E" w14:paraId="2EA3033F" w14:textId="77777777">
            <w:pPr>
              <w:pStyle w:val="EPName"/>
            </w:pPr>
            <w:r w:rsidRPr="005B0110">
              <w:t>Europa-Parlamentet</w:t>
            </w:r>
          </w:p>
          <w:p w:rsidR="00751A4A" w:rsidRPr="005B0110" w:rsidP="005F1B17" w14:paraId="3EC0610D" w14:textId="77777777">
            <w:pPr>
              <w:pStyle w:val="EPTerm"/>
              <w:rPr>
                <w:rStyle w:val="HideTWBExt"/>
                <w:noProof w:val="0"/>
                <w:vanish w:val="0"/>
                <w:color w:val="auto"/>
              </w:rPr>
            </w:pPr>
            <w:r w:rsidRPr="005B0110">
              <w:t>2024</w:t>
            </w:r>
            <w:r w:rsidRPr="005B0110" w:rsidR="00817416">
              <w:t>-202</w:t>
            </w:r>
            <w:r w:rsidRPr="005B0110">
              <w:t>9</w:t>
            </w:r>
          </w:p>
        </w:tc>
        <w:tc>
          <w:tcPr>
            <w:tcW w:w="2268" w:type="dxa"/>
            <w:shd w:val="clear" w:color="auto" w:fill="auto"/>
          </w:tcPr>
          <w:p w:rsidR="00751A4A" w:rsidRPr="005B0110" w:rsidP="0010095E" w14:paraId="75580F67" w14:textId="77777777">
            <w:pPr>
              <w:pStyle w:val="EPLogo"/>
            </w:pPr>
            <w:r w:rsidRPr="005B011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B0110" w:rsidP="004C5D52" w14:paraId="02E7A269" w14:textId="77777777">
      <w:pPr>
        <w:pStyle w:val="LineTop"/>
      </w:pPr>
    </w:p>
    <w:p w:rsidR="00680577" w:rsidRPr="005B0110" w:rsidP="00680577" w14:paraId="0B4E5B3B" w14:textId="77777777">
      <w:pPr>
        <w:pStyle w:val="EPBodyTA1"/>
      </w:pPr>
      <w:r w:rsidRPr="005B0110">
        <w:t>VEDTAGNE TEKSTER</w:t>
      </w:r>
    </w:p>
    <w:p w:rsidR="00D058B8" w:rsidRPr="005B0110" w:rsidP="00D058B8" w14:paraId="580EAC0B" w14:textId="77777777">
      <w:pPr>
        <w:pStyle w:val="LineBottom"/>
      </w:pPr>
    </w:p>
    <w:p w:rsidR="00E83C6E" w:rsidRPr="005B0110" w:rsidP="00E83C6E" w14:paraId="45EB0903" w14:textId="1FB27BDD">
      <w:pPr>
        <w:pStyle w:val="ATHeading1"/>
      </w:pPr>
      <w:bookmarkStart w:id="0" w:name="TANumber"/>
      <w:r w:rsidRPr="005B0110">
        <w:t>P10_TA(2026)0</w:t>
      </w:r>
      <w:bookmarkEnd w:id="0"/>
      <w:r w:rsidR="000F6E39">
        <w:t>232</w:t>
      </w:r>
    </w:p>
    <w:p w:rsidR="00E83C6E" w:rsidRPr="004D3CFD" w:rsidP="004D3CFD" w14:paraId="64C59FA4" w14:textId="52E039F3">
      <w:pPr>
        <w:pStyle w:val="ATHeading2"/>
      </w:pPr>
      <w:r>
        <w:rPr>
          <w:bCs/>
        </w:rPr>
        <w:t>F</w:t>
      </w:r>
      <w:r w:rsidRPr="00892D2F">
        <w:rPr>
          <w:bCs/>
        </w:rPr>
        <w:t>inansiering af den årlige handlingsplan</w:t>
      </w:r>
      <w:r>
        <w:rPr>
          <w:bCs/>
        </w:rPr>
        <w:t xml:space="preserve"> </w:t>
      </w:r>
      <w:r w:rsidRPr="00892D2F">
        <w:rPr>
          <w:bCs/>
        </w:rPr>
        <w:t>til fordel for Den Forenede Republik Tanzania for 2026</w:t>
      </w:r>
    </w:p>
    <w:p w:rsidR="00E83C6E" w:rsidRPr="005B0110" w:rsidP="00E83C6E" w14:paraId="0C8A3178" w14:textId="77777777">
      <w:pPr>
        <w:rPr>
          <w:i/>
          <w:vanish/>
        </w:rPr>
      </w:pPr>
      <w:r>
        <w:rPr>
          <w:i/>
        </w:rPr>
        <w:fldChar w:fldCharType="begin"/>
      </w:r>
      <w:r w:rsidRPr="005B0110">
        <w:rPr>
          <w:i/>
        </w:rPr>
        <w:instrText xml:space="preserve"> TC"(</w:instrText>
      </w:r>
      <w:bookmarkStart w:id="1" w:name="DocNumber"/>
      <w:r w:rsidRPr="005B0110">
        <w:rPr>
          <w:i/>
        </w:rPr>
        <w:instrText>B10-0273/2026</w:instrText>
      </w:r>
      <w:bookmarkEnd w:id="1"/>
      <w:r w:rsidRPr="005B0110">
        <w:rPr>
          <w:i/>
        </w:rPr>
        <w:instrText xml:space="preserve">)"\l3 \n&gt; \* MERGEFORMAT </w:instrText>
      </w:r>
      <w:r>
        <w:rPr>
          <w:i/>
        </w:rPr>
        <w:fldChar w:fldCharType="end"/>
      </w:r>
    </w:p>
    <w:p w:rsidR="00E83C6E" w:rsidRPr="005B0110" w:rsidP="00E83C6E" w14:paraId="2C9888BC" w14:textId="77777777">
      <w:pPr>
        <w:rPr>
          <w:vanish/>
        </w:rPr>
      </w:pPr>
      <w:bookmarkStart w:id="2" w:name="PE"/>
      <w:r w:rsidRPr="005B0110">
        <w:rPr>
          <w:vanish/>
        </w:rPr>
        <w:t>PE789.144</w:t>
      </w:r>
      <w:bookmarkEnd w:id="2"/>
    </w:p>
    <w:p w:rsidR="00E83C6E" w:rsidRPr="005B0110" w:rsidP="00E83C6E" w14:paraId="72C25A5A" w14:textId="5124EE75">
      <w:pPr>
        <w:pStyle w:val="ATHeading3"/>
      </w:pPr>
      <w:bookmarkStart w:id="3" w:name="Sujet"/>
      <w:r w:rsidRPr="005B0110">
        <w:t xml:space="preserve">Europa-Parlamentets beslutning af </w:t>
      </w:r>
      <w:r w:rsidR="00861904">
        <w:t>18</w:t>
      </w:r>
      <w:r w:rsidRPr="005B0110">
        <w:t>.</w:t>
      </w:r>
      <w:r w:rsidR="00230E6E">
        <w:t xml:space="preserve"> juni</w:t>
      </w:r>
      <w:r w:rsidRPr="005B0110">
        <w:t xml:space="preserve"> 2026 om udkast til Kommissionens gennemførelsesafgørelse om finansieringen af den årlige handlingsplan til fordel for Den Forenede Republik Tanzania for 2026</w:t>
      </w:r>
      <w:bookmarkEnd w:id="3"/>
      <w:r w:rsidRPr="005B0110">
        <w:t xml:space="preserve"> </w:t>
      </w:r>
      <w:bookmarkStart w:id="4" w:name="References"/>
      <w:r w:rsidRPr="005B0110">
        <w:t>(D115284/01 – 2026/2749(RSP))</w:t>
      </w:r>
      <w:bookmarkEnd w:id="4"/>
    </w:p>
    <w:p w:rsidR="00874E58" w:rsidRPr="005B0110" w:rsidP="00874E58" w14:paraId="253026CB" w14:textId="77777777">
      <w:pPr>
        <w:pStyle w:val="EPComma"/>
      </w:pPr>
      <w:bookmarkStart w:id="5" w:name="TextBodyBegin"/>
      <w:bookmarkEnd w:id="5"/>
      <w:r w:rsidRPr="005B0110">
        <w:rPr>
          <w:i/>
          <w:iCs/>
        </w:rPr>
        <w:t>Europa-Parlamentet</w:t>
      </w:r>
      <w:r w:rsidRPr="005B0110">
        <w:t>,</w:t>
      </w:r>
    </w:p>
    <w:p w:rsidR="00874E58" w:rsidRPr="005B0110" w:rsidP="00874E58" w14:paraId="434D12E9" w14:textId="77777777">
      <w:pPr>
        <w:pStyle w:val="NormalHanging12a"/>
      </w:pPr>
      <w:r w:rsidRPr="005B0110">
        <w:t>–</w:t>
      </w:r>
      <w:r w:rsidRPr="005B0110">
        <w:tab/>
        <w:t>der henviser til udkast til Kommissionens gennemførelsesafgørelse om finansieringen af den årlige handlingsplan til fordel for Den Forenede Republik Tanzania for 2026 (D115284/01),</w:t>
      </w:r>
    </w:p>
    <w:p w:rsidR="00874E58" w:rsidRPr="005B0110" w:rsidP="00874E58" w14:paraId="7EDB5453" w14:textId="77777777">
      <w:pPr>
        <w:pStyle w:val="NormalHanging12a"/>
      </w:pPr>
      <w:r w:rsidRPr="005B0110">
        <w:t>–</w:t>
      </w:r>
      <w:r w:rsidRPr="005B0110">
        <w:tab/>
        <w:t xml:space="preserve">der henviser til Europa-Parlamentets og Rådets forordning (EU) 2021/947 af 9. juni 2021 om oprettelse af instrumentet for naboskab, udviklingssamarbejde og internationalt samarbejde – et globalt Europa, og om ændring og ophævelse af Europa-Parlamentets og Rådets afgørelse nr. 466/2014/EU og ophævelse af Europa-Parlamentets og Rådets forordning (EU) 2017/1601 og Rådets forordning (EF, </w:t>
      </w:r>
      <w:r w:rsidRPr="005B0110">
        <w:t>Euratom</w:t>
      </w:r>
      <w:r w:rsidRPr="005B0110">
        <w:t>) nr. 480/2009</w:t>
      </w:r>
      <w:r>
        <w:rPr>
          <w:vertAlign w:val="superscript"/>
        </w:rPr>
        <w:footnoteReference w:id="2"/>
      </w:r>
      <w:r w:rsidRPr="005B0110">
        <w:t xml:space="preserve"> (forordningen om NDICI – et globalt Europa), særlig artikel 25,</w:t>
      </w:r>
    </w:p>
    <w:p w:rsidR="00874E58" w:rsidRPr="005B0110" w:rsidP="00874E58" w14:paraId="3F3EF2A2" w14:textId="77777777">
      <w:pPr>
        <w:pStyle w:val="NormalHanging12a"/>
      </w:pPr>
      <w:r w:rsidRPr="005B0110">
        <w:t>–</w:t>
      </w:r>
      <w:r w:rsidRPr="005B0110">
        <w:tab/>
        <w:t>der henviser til udtalelse af 20. maj 2026 fra det udvalg, der er omhandlet i artikel 45 i forordning (EU) 2021/947,</w:t>
      </w:r>
    </w:p>
    <w:p w:rsidR="00874E58" w:rsidRPr="005B0110" w:rsidP="00874E58" w14:paraId="6CEEFBB4" w14:textId="77777777">
      <w:pPr>
        <w:pStyle w:val="NormalHanging12a"/>
      </w:pPr>
      <w:r w:rsidRPr="005B0110">
        <w:t>–</w:t>
      </w:r>
      <w:r w:rsidRPr="005B0110">
        <w:tab/>
        <w:t>der henviser til artikel 11 i Europa-Parlamentets og Rådets forordning (EU) nr. 182/2011 af 16. februar 2011 om de generelle regler og principper for, hvordan medlemsstaterne skal kontrollere Kommissionens udøvelse af gennemførelsesbeføjelser</w:t>
      </w:r>
      <w:r>
        <w:rPr>
          <w:vertAlign w:val="superscript"/>
        </w:rPr>
        <w:footnoteReference w:id="3"/>
      </w:r>
      <w:r w:rsidRPr="005B0110">
        <w:t>,</w:t>
      </w:r>
    </w:p>
    <w:p w:rsidR="00874E58" w:rsidRPr="005B0110" w:rsidP="00874E58" w14:paraId="273B13D7" w14:textId="77777777">
      <w:pPr>
        <w:pStyle w:val="NormalHanging12a"/>
      </w:pPr>
      <w:r w:rsidRPr="005B0110">
        <w:t>–</w:t>
      </w:r>
      <w:r w:rsidRPr="005B0110">
        <w:tab/>
        <w:t>der henviser til Europa-Parlamentets beslutning af 27. november 2025 om udkast til Kommissionens gennemførelsesafgørelse om finansieringen af den årlige handlingsplan til fordel for Den Forenede Republik Tanzania for 2025</w:t>
      </w:r>
      <w:r>
        <w:rPr>
          <w:vertAlign w:val="superscript"/>
        </w:rPr>
        <w:footnoteReference w:id="4"/>
      </w:r>
      <w:r w:rsidRPr="005B0110">
        <w:t>,</w:t>
      </w:r>
    </w:p>
    <w:p w:rsidR="00874E58" w:rsidRPr="005B0110" w:rsidP="00874E58" w14:paraId="2074E4DE" w14:textId="77777777">
      <w:pPr>
        <w:pStyle w:val="NormalHanging12a"/>
      </w:pPr>
      <w:r w:rsidRPr="005B0110">
        <w:t>–</w:t>
      </w:r>
      <w:r w:rsidRPr="005B0110">
        <w:tab/>
        <w:t xml:space="preserve">der henviser til Europa-Parlamentets beslutning af 27. november 2025 om drab efter </w:t>
      </w:r>
      <w:r w:rsidRPr="005B0110">
        <w:t xml:space="preserve">valget og den forværrede menneskerettighedssituation i Tanzania, herunder sagen om den fængslede oppositionsleder </w:t>
      </w:r>
      <w:r w:rsidRPr="005B0110">
        <w:t>Tundu</w:t>
      </w:r>
      <w:r w:rsidRPr="005B0110">
        <w:t xml:space="preserve"> </w:t>
      </w:r>
      <w:r w:rsidRPr="005B0110">
        <w:t>Lissu</w:t>
      </w:r>
      <w:r w:rsidRPr="005B0110">
        <w:t>,</w:t>
      </w:r>
    </w:p>
    <w:p w:rsidR="00874E58" w:rsidRPr="005B0110" w:rsidP="00874E58" w14:paraId="3F7CD03F" w14:textId="77777777">
      <w:pPr>
        <w:pStyle w:val="NormalHanging12a"/>
      </w:pPr>
      <w:r w:rsidRPr="005B0110">
        <w:t>–</w:t>
      </w:r>
      <w:r w:rsidRPr="005B0110">
        <w:tab/>
        <w:t xml:space="preserve">der henviser til Europa-Parlamentets beslutning af 8. maj 2025 om fængsling og risiko for henrettelse af </w:t>
      </w:r>
      <w:r w:rsidRPr="005B0110">
        <w:t>Tundu</w:t>
      </w:r>
      <w:r w:rsidRPr="005B0110">
        <w:t xml:space="preserve"> </w:t>
      </w:r>
      <w:r w:rsidRPr="005B0110">
        <w:t>Lissu</w:t>
      </w:r>
      <w:r w:rsidRPr="005B0110">
        <w:t xml:space="preserve">, leder af </w:t>
      </w:r>
      <w:r w:rsidRPr="005B0110">
        <w:t>Chadema</w:t>
      </w:r>
      <w:r w:rsidRPr="005B0110">
        <w:t>, det største oppositionsparti i Tanzania,</w:t>
      </w:r>
    </w:p>
    <w:p w:rsidR="00874E58" w:rsidRPr="005B0110" w:rsidP="00874E58" w14:paraId="324DD22F" w14:textId="77777777">
      <w:pPr>
        <w:pStyle w:val="NormalHanging12a"/>
      </w:pPr>
      <w:r w:rsidRPr="005B0110">
        <w:t>–</w:t>
      </w:r>
      <w:r w:rsidRPr="005B0110">
        <w:tab/>
        <w:t>der henviser til forretningsordenens artikel 115, stk. 2 og 3,</w:t>
      </w:r>
    </w:p>
    <w:p w:rsidR="00874E58" w:rsidRPr="005B0110" w:rsidP="00874E58" w14:paraId="6E8531FC" w14:textId="77777777">
      <w:pPr>
        <w:pStyle w:val="NormalHanging12a"/>
      </w:pPr>
      <w:r w:rsidRPr="005B0110">
        <w:t>–</w:t>
      </w:r>
      <w:r w:rsidRPr="005B0110">
        <w:tab/>
        <w:t>der henviser til de fælles drøftelser mellem Udenrigsudvalget og Udviklingsudvalget, jf. forretningsordenens artikel 59,</w:t>
      </w:r>
    </w:p>
    <w:p w:rsidR="00874E58" w:rsidRPr="005B0110" w:rsidP="00874E58" w14:paraId="06DB7362" w14:textId="77777777">
      <w:pPr>
        <w:pStyle w:val="NormalHanging12a"/>
      </w:pPr>
      <w:r w:rsidRPr="005B0110">
        <w:t>–</w:t>
      </w:r>
      <w:r w:rsidRPr="005B0110">
        <w:tab/>
        <w:t>der henviser til forslag til beslutning fra Udenrigsudvalget og Udviklingsudvalget,</w:t>
      </w:r>
    </w:p>
    <w:p w:rsidR="00874E58" w:rsidRPr="005B0110" w:rsidP="00874E58" w14:paraId="2BE61A32" w14:textId="77777777">
      <w:pPr>
        <w:pStyle w:val="NormalHanging12a"/>
      </w:pPr>
      <w:r w:rsidRPr="005B0110">
        <w:t>A.</w:t>
      </w:r>
      <w:r w:rsidRPr="005B0110">
        <w:tab/>
        <w:t>der henviser til, at Kommissionen i november 2025 suspenderede vedtagelsesprocessen for udkastet til gennemførelsesafgørelse om finansiering af den årlige handlingsplan til fordel for Den Forenede Republik Tanzania for 2025 på grund af bekymringer, som Europa-Parlamentet havde givet udtryk for;</w:t>
      </w:r>
    </w:p>
    <w:p w:rsidR="00874E58" w:rsidRPr="005B0110" w:rsidP="00874E58" w14:paraId="3587AE5B" w14:textId="77777777">
      <w:pPr>
        <w:pStyle w:val="NormalHanging12a"/>
      </w:pPr>
      <w:r w:rsidRPr="005B0110">
        <w:t>B.</w:t>
      </w:r>
      <w:r w:rsidRPr="005B0110">
        <w:tab/>
        <w:t>der henviser til, at det reviderede udkast til Kommissionens gennemførelsesafgørelse blev forelagt for udvalget for instrumentet for naboskab, udviklingssamarbejde og internationalt samarbejde den 20. maj 2026;</w:t>
      </w:r>
    </w:p>
    <w:p w:rsidR="00874E58" w:rsidRPr="005B0110" w:rsidP="00874E58" w14:paraId="3138A9C2" w14:textId="77777777">
      <w:pPr>
        <w:pStyle w:val="NormalHanging12a"/>
      </w:pPr>
      <w:r w:rsidRPr="005B0110">
        <w:t>C.</w:t>
      </w:r>
      <w:r w:rsidRPr="005B0110">
        <w:tab/>
        <w:t>der henviser til, at det reviderede udkast til Kommissionens gennemførelsesafgørelse fastholder det samme samlede beløb og stort set de samme tiltag som det tidligere udkast til afgørelse, mens det foreslås, at gennemførelsen hovedsagelig bør ske gennem indirekte forvaltning frem for direkte budgetstøtte til Tanzanias myndigheder;</w:t>
      </w:r>
    </w:p>
    <w:p w:rsidR="00874E58" w:rsidRPr="005B0110" w:rsidP="00874E58" w14:paraId="65D54301" w14:textId="77777777">
      <w:pPr>
        <w:pStyle w:val="NormalHanging12a"/>
      </w:pPr>
      <w:r w:rsidRPr="005B0110">
        <w:t>D.</w:t>
      </w:r>
      <w:r w:rsidRPr="005B0110">
        <w:tab/>
        <w:t xml:space="preserve">der henviser til, at Tanzanias nationale undersøgelseskommission, der undersøgte volden i forbindelse med valget den 29. oktober 2025, den 23. april 2026 erkendte, at mindst 518 mennesker var døde, men undlod at identificere de ansvarlige og dermed hindrede </w:t>
      </w:r>
      <w:r w:rsidRPr="005B0110">
        <w:t>ansvarliggørelse</w:t>
      </w:r>
      <w:r w:rsidRPr="005B0110">
        <w:t xml:space="preserve"> og retfærdighed for ofrene, og ikke offentliggjorde sine resultater; </w:t>
      </w:r>
    </w:p>
    <w:p w:rsidR="00874E58" w:rsidRPr="005B0110" w:rsidP="00874E58" w14:paraId="41785ACD" w14:textId="77777777">
      <w:pPr>
        <w:pStyle w:val="NormalHanging12a"/>
      </w:pPr>
      <w:r w:rsidRPr="005B0110">
        <w:t>E.</w:t>
      </w:r>
      <w:r w:rsidRPr="005B0110">
        <w:tab/>
        <w:t>der henviser til, at Tanzanias myndigheder nægtede at modtage en delegation fra Europa-Parlamentets Underudvalg om Menneskerettigheder i maj 2026;</w:t>
      </w:r>
    </w:p>
    <w:p w:rsidR="00874E58" w:rsidRPr="005B0110" w:rsidP="00874E58" w14:paraId="4140315B" w14:textId="77777777">
      <w:pPr>
        <w:pStyle w:val="NormalHanging12a"/>
      </w:pPr>
      <w:r w:rsidRPr="005B0110">
        <w:t>F.</w:t>
      </w:r>
      <w:r w:rsidRPr="005B0110">
        <w:tab/>
        <w:t xml:space="preserve">der henviser til, at </w:t>
      </w:r>
      <w:r w:rsidRPr="005B0110">
        <w:t>Tundu</w:t>
      </w:r>
      <w:r w:rsidRPr="005B0110">
        <w:t xml:space="preserve"> </w:t>
      </w:r>
      <w:r w:rsidRPr="005B0110">
        <w:t>Lissu</w:t>
      </w:r>
      <w:r w:rsidRPr="005B0110">
        <w:t xml:space="preserve">, leder af </w:t>
      </w:r>
      <w:r w:rsidRPr="005B0110">
        <w:t>Chadema</w:t>
      </w:r>
      <w:r w:rsidRPr="005B0110">
        <w:t>, Tanzanias største oppositionsparti, har været tilbageholdt i over et år og står over for politisk motiverede anklager med alvorlige juridiske konsekvenser, herunder dødsstraf;</w:t>
      </w:r>
    </w:p>
    <w:p w:rsidR="00874E58" w:rsidRPr="005B0110" w:rsidP="00874E58" w14:paraId="56B24374" w14:textId="77777777">
      <w:pPr>
        <w:pStyle w:val="NormalHanging12a"/>
      </w:pPr>
      <w:r w:rsidRPr="005B0110">
        <w:t>G.</w:t>
      </w:r>
      <w:r w:rsidRPr="005B0110">
        <w:tab/>
        <w:t>der henviser til, at Tanzanias regering ikke har opfyldt nogen af de krav, som Europa-Parlamentet fremsatte i sine beslutninger af 8. maj og 27. november 2025, herunder blandt andet krav om øjeblikkelig og betingelsesløs løsladelse af oppositionsmedlemmer, forbedring af menneskerettighedssituationen og nedsættelse af en uafhængig og upartisk international undersøgelseskommission til at undersøge volden efter valget;</w:t>
      </w:r>
    </w:p>
    <w:p w:rsidR="00874E58" w:rsidRPr="005B0110" w:rsidP="00874E58" w14:paraId="0FD2995A" w14:textId="77777777">
      <w:pPr>
        <w:pStyle w:val="NormalHanging12a"/>
      </w:pPr>
      <w:r w:rsidRPr="005B0110">
        <w:t>H.</w:t>
      </w:r>
      <w:r w:rsidRPr="005B0110">
        <w:tab/>
        <w:t>der henviser til, at Kommissionen og Tjenesten for EU's Optræden Udadtil ikke effektivt har vist, at de har adresseret de reelle bekymringer, der førte til indsigelsen i november 2025;</w:t>
      </w:r>
    </w:p>
    <w:p w:rsidR="00874E58" w:rsidRPr="005B0110" w:rsidP="00874E58" w14:paraId="1D51CDDD" w14:textId="77777777">
      <w:pPr>
        <w:pStyle w:val="NormalHanging12a"/>
      </w:pPr>
      <w:r w:rsidRPr="005B0110">
        <w:t>1.</w:t>
      </w:r>
      <w:r w:rsidRPr="005B0110">
        <w:tab/>
        <w:t>mener, at udkastet til Kommissionens gennemførelsesafgørelse overskrider de gennemførelsesbeføjelser, der er fastsat i forordning (EU) 2021/947;</w:t>
      </w:r>
    </w:p>
    <w:p w:rsidR="00874E58" w:rsidRPr="005B0110" w:rsidP="00874E58" w14:paraId="66536BA7" w14:textId="77777777">
      <w:pPr>
        <w:pStyle w:val="NormalHanging12a"/>
      </w:pPr>
      <w:r w:rsidRPr="005B0110">
        <w:t>2.</w:t>
      </w:r>
      <w:r w:rsidRPr="005B0110">
        <w:tab/>
        <w:t>mener, at udkastet til Kommissionens gennemførelsesafgørelse ikke er i overensstemmelse med EU-retten, fordi det er i modstrid med formålet med forordning (EU) 2021/947;</w:t>
      </w:r>
    </w:p>
    <w:p w:rsidR="00874E58" w:rsidRPr="005B0110" w:rsidP="00874E58" w14:paraId="2955D3BD" w14:textId="77777777">
      <w:pPr>
        <w:pStyle w:val="NormalHanging12a"/>
      </w:pPr>
      <w:r w:rsidRPr="005B0110">
        <w:t>3.</w:t>
      </w:r>
      <w:r w:rsidRPr="005B0110">
        <w:tab/>
        <w:t>mener, at udkastet til Kommissionens gennemførelsesafgørelse ikke i tilstrækkelig grad tager hensyn til de betænkeligheder, som Europa-Parlamentet gav udtryk for i sin beslutning af 27. november 2025;</w:t>
      </w:r>
    </w:p>
    <w:p w:rsidR="00874E58" w:rsidRPr="005B0110" w:rsidP="00874E58" w14:paraId="5CA8CCFB" w14:textId="77777777">
      <w:pPr>
        <w:pStyle w:val="NormalHanging12a"/>
      </w:pPr>
      <w:r w:rsidRPr="005B0110">
        <w:t>4.</w:t>
      </w:r>
      <w:r w:rsidRPr="005B0110">
        <w:tab/>
        <w:t>beklager, at Kommissionen ikke endnu en gang suspenderede vedtagelsesprocessen for udkastet til gennemførelsesafgørelse efter at være blevet underrettet om Parlamentets bekymringer; beklager den manglende hensyntagen fra Kommissionens og EU-Udenrigstjenestens side til de bekymringer, som Europa-Parlamentet har givet udtryk for i sine beslutninger vedrørende Tanzania;</w:t>
      </w:r>
    </w:p>
    <w:p w:rsidR="00874E58" w:rsidRPr="005B0110" w:rsidP="00874E58" w14:paraId="52CC926C" w14:textId="77777777">
      <w:pPr>
        <w:pStyle w:val="NormalHanging12a"/>
      </w:pPr>
      <w:r w:rsidRPr="005B0110">
        <w:t>5.</w:t>
      </w:r>
      <w:r w:rsidRPr="005B0110">
        <w:tab/>
        <w:t>opfordrer Kommissionen til at trække sit udkast til gennemførelsesafgørelse tilbage og forelægge udvalget et nyt udkast, samtidig med at det sikres, at eventuelle nye ændringer ikke har en negativ indvirkning på den inklusive ydelse af basale tjenester til befolkningen, beskyttelsen af menneskerettighederne og demokratiet eller støtten til civilsamfundsorganisationer;</w:t>
      </w:r>
    </w:p>
    <w:p w:rsidR="005B0110" w:rsidRPr="005B0110" w:rsidP="005B0110" w14:paraId="0D1A1FE4" w14:textId="2D4AFD4D">
      <w:pPr>
        <w:pStyle w:val="NormalHanging12a"/>
      </w:pPr>
      <w:r w:rsidRPr="005B0110">
        <w:t>6.</w:t>
      </w:r>
      <w:r w:rsidRPr="005B0110">
        <w:tab/>
        <w:t>pålægger sin formand at sende denne beslutning til Rådet og Kommissionen samt til medlemsstaternes regeringer og parlamenter.</w:t>
      </w:r>
    </w:p>
    <w:p w:rsidR="00E365E1" w:rsidRPr="005B0110" w:rsidP="00E83C6E" w14:paraId="7E30C47E" w14:textId="77DCC89B"/>
    <w:sectPr w:rsidSect="005B0110">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0110" w14:paraId="056C66A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0110" w14:paraId="23D6475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0110" w14:paraId="67F01A3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83C6E" w:rsidRPr="005B0110" w14:paraId="663971B2" w14:textId="77777777">
      <w:r w:rsidRPr="005B0110">
        <w:separator/>
      </w:r>
    </w:p>
  </w:footnote>
  <w:footnote w:type="continuationSeparator" w:id="1">
    <w:p w:rsidR="00E83C6E" w:rsidRPr="005B0110" w14:paraId="51EC21C4" w14:textId="77777777">
      <w:r w:rsidRPr="005B0110">
        <w:continuationSeparator/>
      </w:r>
    </w:p>
  </w:footnote>
  <w:footnote w:id="2">
    <w:p w:rsidR="00874E58" w:rsidRPr="005B0110" w:rsidP="005B0110" w14:paraId="473905A5" w14:textId="6C0775F5">
      <w:pPr>
        <w:pStyle w:val="FootnoteText"/>
        <w:ind w:left="567" w:hanging="567"/>
        <w:rPr>
          <w:sz w:val="24"/>
          <w:szCs w:val="24"/>
          <w:lang w:val="da-DK"/>
        </w:rPr>
      </w:pPr>
      <w:r w:rsidRPr="005B0110">
        <w:rPr>
          <w:rStyle w:val="FootnoteReference"/>
          <w:sz w:val="24"/>
          <w:lang w:val="da-DK"/>
        </w:rPr>
        <w:footnoteRef/>
      </w:r>
      <w:r w:rsidRPr="005B0110" w:rsidR="005B0110">
        <w:rPr>
          <w:sz w:val="24"/>
          <w:lang w:val="da-DK"/>
        </w:rPr>
        <w:t xml:space="preserve"> </w:t>
      </w:r>
      <w:r w:rsidRPr="005B0110" w:rsidR="005B0110">
        <w:rPr>
          <w:sz w:val="24"/>
          <w:lang w:val="da-DK"/>
        </w:rPr>
        <w:tab/>
      </w:r>
      <w:r w:rsidRPr="005B0110">
        <w:rPr>
          <w:sz w:val="24"/>
          <w:lang w:val="da-DK"/>
        </w:rPr>
        <w:t xml:space="preserve">EUT L 209 af 14.6.2021, s. 1, ELI: </w:t>
      </w:r>
      <w:hyperlink r:id="rId1" w:tgtFrame="http://data.europa.eu/eli/reg/2021/947/oj" w:history="1">
        <w:r w:rsidRPr="005B0110">
          <w:rPr>
            <w:rStyle w:val="Hyperlink"/>
            <w:sz w:val="24"/>
            <w:lang w:val="da-DK"/>
          </w:rPr>
          <w:t>http://data.europa.eu/eli/reg/2021/947/oj</w:t>
        </w:r>
      </w:hyperlink>
      <w:r w:rsidRPr="005B0110">
        <w:rPr>
          <w:sz w:val="24"/>
          <w:lang w:val="da-DK"/>
        </w:rPr>
        <w:t>.</w:t>
      </w:r>
    </w:p>
  </w:footnote>
  <w:footnote w:id="3">
    <w:p w:rsidR="00874E58" w:rsidRPr="005B0110" w:rsidP="005B0110" w14:paraId="719A624E" w14:textId="79A170FC">
      <w:pPr>
        <w:pStyle w:val="FootnoteText"/>
        <w:ind w:left="567" w:hanging="567"/>
        <w:rPr>
          <w:sz w:val="24"/>
          <w:szCs w:val="24"/>
          <w:lang w:val="da-DK"/>
        </w:rPr>
      </w:pPr>
      <w:r w:rsidRPr="005B0110">
        <w:rPr>
          <w:rStyle w:val="FootnoteReference"/>
          <w:sz w:val="24"/>
          <w:szCs w:val="24"/>
          <w:lang w:val="da-DK"/>
        </w:rPr>
        <w:footnoteRef/>
      </w:r>
      <w:r w:rsidRPr="005B0110" w:rsidR="005B0110">
        <w:rPr>
          <w:sz w:val="24"/>
          <w:lang w:val="da-DK"/>
        </w:rPr>
        <w:t xml:space="preserve"> </w:t>
      </w:r>
      <w:r w:rsidRPr="005B0110" w:rsidR="005B0110">
        <w:rPr>
          <w:sz w:val="24"/>
          <w:lang w:val="da-DK"/>
        </w:rPr>
        <w:tab/>
      </w:r>
      <w:r w:rsidRPr="005B0110">
        <w:rPr>
          <w:sz w:val="24"/>
          <w:lang w:val="da-DK"/>
        </w:rPr>
        <w:t xml:space="preserve">EUT L 55 af 28.2.2011, s. 13, ELI: </w:t>
      </w:r>
      <w:hyperlink r:id="rId2" w:tooltip="Giver adgang til dokumentet via dets ELI-URI." w:history="1">
        <w:r w:rsidRPr="005B0110">
          <w:rPr>
            <w:rStyle w:val="Hyperlink"/>
            <w:sz w:val="24"/>
            <w:lang w:val="da-DK"/>
          </w:rPr>
          <w:t>http://data.europa.eu/eli/reg/2011/182/oj</w:t>
        </w:r>
      </w:hyperlink>
      <w:r w:rsidRPr="005B0110">
        <w:rPr>
          <w:sz w:val="24"/>
          <w:lang w:val="da-DK"/>
        </w:rPr>
        <w:t>.</w:t>
      </w:r>
    </w:p>
  </w:footnote>
  <w:footnote w:id="4">
    <w:p w:rsidR="00874E58" w:rsidRPr="005B0110" w:rsidP="005B0110" w14:paraId="4ABA4298" w14:textId="5B5B1A33">
      <w:pPr>
        <w:pStyle w:val="FootnoteText"/>
        <w:ind w:left="567" w:hanging="567"/>
        <w:rPr>
          <w:sz w:val="24"/>
          <w:lang w:val="da-DK"/>
        </w:rPr>
      </w:pPr>
      <w:r w:rsidRPr="005B0110">
        <w:rPr>
          <w:rStyle w:val="FootnoteReference"/>
          <w:sz w:val="24"/>
          <w:szCs w:val="24"/>
          <w:lang w:val="da-DK"/>
        </w:rPr>
        <w:footnoteRef/>
      </w:r>
      <w:r w:rsidRPr="005B0110" w:rsidR="005B0110">
        <w:rPr>
          <w:sz w:val="24"/>
          <w:lang w:val="da-DK"/>
        </w:rPr>
        <w:t xml:space="preserve"> </w:t>
      </w:r>
      <w:r w:rsidRPr="005B0110" w:rsidR="005B0110">
        <w:rPr>
          <w:sz w:val="24"/>
          <w:lang w:val="da-DK"/>
        </w:rPr>
        <w:tab/>
      </w:r>
      <w:r w:rsidRPr="005B0110">
        <w:rPr>
          <w:sz w:val="24"/>
          <w:lang w:val="da-DK"/>
        </w:rPr>
        <w:t>Vedtagne tekster, P10_</w:t>
      </w:r>
      <w:r w:rsidRPr="005B0110">
        <w:rPr>
          <w:sz w:val="24"/>
          <w:lang w:val="da-DK"/>
        </w:rPr>
        <w:t>TA(</w:t>
      </w:r>
      <w:r w:rsidRPr="005B0110">
        <w:rPr>
          <w:sz w:val="24"/>
          <w:lang w:val="da-DK"/>
        </w:rPr>
        <w:t>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0110" w14:paraId="6C86DE31"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0110" w14:paraId="5CECE4E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B0110" w14:paraId="421B6DB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15068315">
    <w:abstractNumId w:val="9"/>
  </w:num>
  <w:num w:numId="2" w16cid:durableId="134418858">
    <w:abstractNumId w:val="9"/>
  </w:num>
  <w:num w:numId="3" w16cid:durableId="512455143">
    <w:abstractNumId w:val="7"/>
  </w:num>
  <w:num w:numId="4" w16cid:durableId="1685015018">
    <w:abstractNumId w:val="7"/>
  </w:num>
  <w:num w:numId="5" w16cid:durableId="1257979494">
    <w:abstractNumId w:val="6"/>
  </w:num>
  <w:num w:numId="6" w16cid:durableId="247349245">
    <w:abstractNumId w:val="6"/>
  </w:num>
  <w:num w:numId="7" w16cid:durableId="1576941030">
    <w:abstractNumId w:val="5"/>
  </w:num>
  <w:num w:numId="8" w16cid:durableId="1339581470">
    <w:abstractNumId w:val="5"/>
  </w:num>
  <w:num w:numId="9" w16cid:durableId="1917785930">
    <w:abstractNumId w:val="4"/>
  </w:num>
  <w:num w:numId="10" w16cid:durableId="1864586003">
    <w:abstractNumId w:val="4"/>
  </w:num>
  <w:num w:numId="11" w16cid:durableId="163252663">
    <w:abstractNumId w:val="8"/>
  </w:num>
  <w:num w:numId="12" w16cid:durableId="1473404662">
    <w:abstractNumId w:val="8"/>
  </w:num>
  <w:num w:numId="13" w16cid:durableId="1317799602">
    <w:abstractNumId w:val="3"/>
  </w:num>
  <w:num w:numId="14" w16cid:durableId="279916522">
    <w:abstractNumId w:val="3"/>
  </w:num>
  <w:num w:numId="15" w16cid:durableId="1531454945">
    <w:abstractNumId w:val="2"/>
  </w:num>
  <w:num w:numId="16" w16cid:durableId="2032681422">
    <w:abstractNumId w:val="2"/>
  </w:num>
  <w:num w:numId="17" w16cid:durableId="1198396012">
    <w:abstractNumId w:val="1"/>
  </w:num>
  <w:num w:numId="18" w16cid:durableId="699627815">
    <w:abstractNumId w:val="1"/>
  </w:num>
  <w:num w:numId="19" w16cid:durableId="666716546">
    <w:abstractNumId w:val="0"/>
  </w:num>
  <w:num w:numId="20" w16cid:durableId="1709338337">
    <w:abstractNumId w:val="0"/>
  </w:num>
  <w:num w:numId="21" w16cid:durableId="1635408635">
    <w:abstractNumId w:val="9"/>
  </w:num>
  <w:num w:numId="22" w16cid:durableId="1695691266">
    <w:abstractNumId w:val="7"/>
  </w:num>
  <w:num w:numId="23" w16cid:durableId="207300790">
    <w:abstractNumId w:val="6"/>
  </w:num>
  <w:num w:numId="24" w16cid:durableId="10375981">
    <w:abstractNumId w:val="5"/>
  </w:num>
  <w:num w:numId="25" w16cid:durableId="565996172">
    <w:abstractNumId w:val="4"/>
  </w:num>
  <w:num w:numId="26" w16cid:durableId="68502374">
    <w:abstractNumId w:val="8"/>
  </w:num>
  <w:num w:numId="27" w16cid:durableId="691761137">
    <w:abstractNumId w:val="3"/>
  </w:num>
  <w:num w:numId="28" w16cid:durableId="1964725838">
    <w:abstractNumId w:val="2"/>
  </w:num>
  <w:num w:numId="29" w16cid:durableId="887689379">
    <w:abstractNumId w:val="1"/>
  </w:num>
  <w:num w:numId="30" w16cid:durableId="1729835318">
    <w:abstractNumId w:val="0"/>
  </w:num>
  <w:num w:numId="31" w16cid:durableId="1064989416">
    <w:abstractNumId w:val="9"/>
  </w:num>
  <w:num w:numId="32" w16cid:durableId="1592591054">
    <w:abstractNumId w:val="7"/>
  </w:num>
  <w:num w:numId="33" w16cid:durableId="1340885166">
    <w:abstractNumId w:val="6"/>
  </w:num>
  <w:num w:numId="34" w16cid:durableId="1059328689">
    <w:abstractNumId w:val="5"/>
  </w:num>
  <w:num w:numId="35" w16cid:durableId="1749616226">
    <w:abstractNumId w:val="4"/>
  </w:num>
  <w:num w:numId="36" w16cid:durableId="1236429657">
    <w:abstractNumId w:val="8"/>
  </w:num>
  <w:num w:numId="37" w16cid:durableId="808283700">
    <w:abstractNumId w:val="3"/>
  </w:num>
  <w:num w:numId="38" w16cid:durableId="1033117953">
    <w:abstractNumId w:val="2"/>
  </w:num>
  <w:num w:numId="39" w16cid:durableId="1632785124">
    <w:abstractNumId w:val="1"/>
  </w:num>
  <w:num w:numId="40" w16cid:durableId="1395472446">
    <w:abstractNumId w:val="0"/>
  </w:num>
  <w:num w:numId="41" w16cid:durableId="863134071">
    <w:abstractNumId w:val="10"/>
  </w:num>
  <w:num w:numId="42" w16cid:durableId="715471820">
    <w:abstractNumId w:val="10"/>
  </w:num>
  <w:num w:numId="43" w16cid:durableId="3829471">
    <w:abstractNumId w:val="10"/>
  </w:num>
  <w:num w:numId="44" w16cid:durableId="10442831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C6E"/>
    <w:rsid w:val="00002272"/>
    <w:rsid w:val="00064002"/>
    <w:rsid w:val="000677B9"/>
    <w:rsid w:val="000831BA"/>
    <w:rsid w:val="000A42CC"/>
    <w:rsid w:val="000E7DD9"/>
    <w:rsid w:val="000F6E39"/>
    <w:rsid w:val="0010095E"/>
    <w:rsid w:val="00125B37"/>
    <w:rsid w:val="00187494"/>
    <w:rsid w:val="001F32AE"/>
    <w:rsid w:val="00230E6E"/>
    <w:rsid w:val="002767FF"/>
    <w:rsid w:val="00293ED2"/>
    <w:rsid w:val="002B18FE"/>
    <w:rsid w:val="002B5493"/>
    <w:rsid w:val="002E1828"/>
    <w:rsid w:val="00343214"/>
    <w:rsid w:val="00361C00"/>
    <w:rsid w:val="00395FA1"/>
    <w:rsid w:val="003E15D4"/>
    <w:rsid w:val="00411CCE"/>
    <w:rsid w:val="0041666E"/>
    <w:rsid w:val="00421060"/>
    <w:rsid w:val="00471C19"/>
    <w:rsid w:val="004867E3"/>
    <w:rsid w:val="00494A28"/>
    <w:rsid w:val="004C0004"/>
    <w:rsid w:val="004C5D52"/>
    <w:rsid w:val="004D3CFD"/>
    <w:rsid w:val="0050519A"/>
    <w:rsid w:val="005072A1"/>
    <w:rsid w:val="00514517"/>
    <w:rsid w:val="00545827"/>
    <w:rsid w:val="00560270"/>
    <w:rsid w:val="005B011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1904"/>
    <w:rsid w:val="00865F67"/>
    <w:rsid w:val="00874E58"/>
    <w:rsid w:val="00881A7B"/>
    <w:rsid w:val="008840E5"/>
    <w:rsid w:val="00887B3E"/>
    <w:rsid w:val="00892D2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E3D"/>
    <w:rsid w:val="00D058B8"/>
    <w:rsid w:val="00D56C11"/>
    <w:rsid w:val="00D834A0"/>
    <w:rsid w:val="00D872DF"/>
    <w:rsid w:val="00D91E21"/>
    <w:rsid w:val="00DA7FCD"/>
    <w:rsid w:val="00E365E1"/>
    <w:rsid w:val="00E820A4"/>
    <w:rsid w:val="00E83C6E"/>
    <w:rsid w:val="00EB006A"/>
    <w:rsid w:val="00EB4772"/>
    <w:rsid w:val="00ED169E"/>
    <w:rsid w:val="00ED4235"/>
    <w:rsid w:val="00F04346"/>
    <w:rsid w:val="00F075DC"/>
    <w:rsid w:val="00F149E9"/>
    <w:rsid w:val="00F4137E"/>
    <w:rsid w:val="00F5134D"/>
    <w:rsid w:val="00F74202"/>
    <w:rsid w:val="00F87713"/>
    <w:rsid w:val="00FB4360"/>
    <w:rsid w:val="00FD0C70"/>
  </w:rsids>
  <w:docVars>
    <w:docVar w:name="dvdocse" w:val="B10-0273/2026"/>
    <w:docVar w:name="dvlangue" w:val="DA"/>
    <w:docVar w:name="dvnumam" w:val="0"/>
    <w:docVar w:name="dvpe" w:val="789.144"/>
    <w:docVar w:name="dvtitre" w:val="Europa-Parlamentets beslutning af xx.xx 2026 om udkast til Kommissionens gennemførelsesafgørelse om finansieringen af den årlige handlingsplan til fordel for Den Forenede Republik Tanzania for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1A67C1C"/>
  <w15:chartTrackingRefBased/>
  <w15:docId w15:val="{B9A62FC1-5E28-4CFC-8AC3-B3AB84F7A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74E58"/>
    <w:pPr>
      <w:spacing w:before="480" w:after="240"/>
    </w:pPr>
  </w:style>
  <w:style w:type="paragraph" w:customStyle="1" w:styleId="NormalHanging12a">
    <w:name w:val="NormalHanging12a"/>
    <w:basedOn w:val="Normal"/>
    <w:rsid w:val="00874E58"/>
    <w:pPr>
      <w:spacing w:after="240"/>
      <w:ind w:left="567" w:hanging="567"/>
    </w:pPr>
  </w:style>
  <w:style w:type="character" w:styleId="Hyperlink">
    <w:name w:val="Hyperlink"/>
    <w:basedOn w:val="DefaultParagraphFont"/>
    <w:rsid w:val="00874E58"/>
    <w:rPr>
      <w:color w:val="0563C1" w:themeColor="hyperlink"/>
      <w:u w:val="single"/>
    </w:rPr>
  </w:style>
  <w:style w:type="paragraph" w:styleId="Revision">
    <w:name w:val="Revision"/>
    <w:hidden/>
    <w:uiPriority w:val="99"/>
    <w:semiHidden/>
    <w:rsid w:val="00230E6E"/>
    <w:rPr>
      <w:sz w:val="24"/>
      <w:lang w:val="da-DK"/>
    </w:rPr>
  </w:style>
  <w:style w:type="character" w:styleId="CommentReference">
    <w:name w:val="annotation reference"/>
    <w:basedOn w:val="DefaultParagraphFont"/>
    <w:rsid w:val="00861904"/>
    <w:rPr>
      <w:sz w:val="16"/>
      <w:szCs w:val="16"/>
    </w:rPr>
  </w:style>
  <w:style w:type="paragraph" w:styleId="CommentText">
    <w:name w:val="annotation text"/>
    <w:basedOn w:val="Normal"/>
    <w:link w:val="CommentTextChar"/>
    <w:rsid w:val="00861904"/>
    <w:rPr>
      <w:sz w:val="20"/>
    </w:rPr>
  </w:style>
  <w:style w:type="character" w:customStyle="1" w:styleId="CommentTextChar">
    <w:name w:val="Comment Text Char"/>
    <w:basedOn w:val="DefaultParagraphFont"/>
    <w:link w:val="CommentText"/>
    <w:rsid w:val="00861904"/>
    <w:rPr>
      <w:lang w:val="da-DK"/>
    </w:rPr>
  </w:style>
  <w:style w:type="paragraph" w:styleId="CommentSubject">
    <w:name w:val="annotation subject"/>
    <w:basedOn w:val="CommentText"/>
    <w:next w:val="CommentText"/>
    <w:link w:val="CommentSubjectChar"/>
    <w:rsid w:val="00861904"/>
    <w:rPr>
      <w:b/>
      <w:bCs/>
    </w:rPr>
  </w:style>
  <w:style w:type="character" w:customStyle="1" w:styleId="CommentSubjectChar">
    <w:name w:val="Comment Subject Char"/>
    <w:basedOn w:val="CommentTextChar"/>
    <w:link w:val="CommentSubject"/>
    <w:rsid w:val="0086190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787</Words>
  <Characters>5191</Characters>
  <Application>Microsoft Office Word</Application>
  <DocSecurity>0</DocSecurity>
  <Lines>101</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2026-06-18T11:20:00Z</dcterms:created>
  <dcterms:modified xsi:type="dcterms:W3CDTF">2026-06-18T11:20:00Z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B10-0273/2026</vt:lpwstr>
  </property>
  <property fmtid="{D5CDD505-2E9C-101B-9397-08002B2CF9AE}" pid="4" name="&lt;Type&gt;">
    <vt:lpwstr>RR</vt:lpwstr>
  </property>
</Properties>
</file>