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24DF576" w14:textId="77777777" w:rsidTr="0010095E">
        <w:tblPrEx>
          <w:tblW w:w="9072" w:type="dxa"/>
          <w:tblLook w:val="01E0"/>
        </w:tblPrEx>
        <w:trPr>
          <w:trHeight w:hRule="exact" w:val="1418"/>
        </w:trPr>
        <w:tc>
          <w:tcPr>
            <w:tcW w:w="6804" w:type="dxa"/>
            <w:shd w:val="clear" w:color="auto" w:fill="auto"/>
            <w:vAlign w:val="center"/>
          </w:tcPr>
          <w:p w:rsidR="00751A4A" w:rsidRPr="002B70B0" w:rsidP="0010095E" w14:paraId="77599CB2" w14:textId="77777777">
            <w:pPr>
              <w:pStyle w:val="EPName"/>
            </w:pPr>
            <w:r w:rsidRPr="002B70B0">
              <w:t>Ευρωπαϊκό Κοινοβούλιο</w:t>
            </w:r>
          </w:p>
          <w:p w:rsidR="00751A4A" w:rsidRPr="002B70B0" w:rsidP="005F1B17" w14:paraId="43DD4EE7" w14:textId="77777777">
            <w:pPr>
              <w:pStyle w:val="EPTerm"/>
              <w:rPr>
                <w:rStyle w:val="HideTWBExt"/>
                <w:noProof w:val="0"/>
                <w:vanish w:val="0"/>
                <w:color w:val="auto"/>
              </w:rPr>
            </w:pPr>
            <w:r w:rsidRPr="002B70B0">
              <w:t>2024</w:t>
            </w:r>
            <w:r w:rsidRPr="002B70B0" w:rsidR="00817416">
              <w:t>-202</w:t>
            </w:r>
            <w:r w:rsidRPr="002B70B0">
              <w:t>9</w:t>
            </w:r>
          </w:p>
        </w:tc>
        <w:tc>
          <w:tcPr>
            <w:tcW w:w="2268" w:type="dxa"/>
            <w:shd w:val="clear" w:color="auto" w:fill="auto"/>
          </w:tcPr>
          <w:p w:rsidR="00751A4A" w:rsidRPr="002B70B0" w:rsidP="0010095E" w14:paraId="1C28BFAC" w14:textId="77777777">
            <w:pPr>
              <w:pStyle w:val="EPLogo"/>
            </w:pPr>
            <w:r w:rsidRPr="002B70B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B70B0" w:rsidP="004C5D52" w14:paraId="63CE90BF" w14:textId="77777777">
      <w:pPr>
        <w:pStyle w:val="LineTop"/>
      </w:pPr>
    </w:p>
    <w:p w:rsidR="00680577" w:rsidRPr="002B70B0" w:rsidP="00680577" w14:paraId="0693EA46" w14:textId="77777777">
      <w:pPr>
        <w:pStyle w:val="EPBodyTA1"/>
      </w:pPr>
      <w:r w:rsidRPr="002B70B0">
        <w:t>ΚΕΙΜΕΝΑ ΠΟΥ ΕΓΚΡΙΘΗΚΑΝ</w:t>
      </w:r>
    </w:p>
    <w:p w:rsidR="00D058B8" w:rsidRPr="002B70B0" w:rsidP="00D058B8" w14:paraId="738F2EB5" w14:textId="77777777">
      <w:pPr>
        <w:pStyle w:val="LineBottom"/>
      </w:pPr>
    </w:p>
    <w:p w:rsidR="00747DBD" w:rsidRPr="002B70B0" w:rsidP="00747DBD" w14:paraId="56FFC732" w14:textId="40984B3E">
      <w:pPr>
        <w:pStyle w:val="ATHeading1"/>
      </w:pPr>
      <w:bookmarkStart w:id="0" w:name="TANumber"/>
      <w:r w:rsidRPr="002B70B0">
        <w:t>P10_TA(2026)0</w:t>
      </w:r>
      <w:r w:rsidRPr="002B70B0" w:rsidR="002B70B0">
        <w:t>232</w:t>
      </w:r>
      <w:bookmarkEnd w:id="0"/>
    </w:p>
    <w:p w:rsidR="00747DBD" w:rsidRPr="002B70B0" w:rsidP="00DF4438" w14:paraId="2D89A34E" w14:textId="4A187E06">
      <w:pPr>
        <w:pStyle w:val="ATHeading2"/>
      </w:pPr>
      <w:bookmarkStart w:id="1" w:name="title"/>
      <w:r w:rsidRPr="002B70B0">
        <w:t>Χ</w:t>
      </w:r>
      <w:r w:rsidRPr="002B70B0">
        <w:rPr>
          <w:rFonts w:hint="eastAsia"/>
          <w:bCs/>
        </w:rPr>
        <w:t>ρηματοδότηση</w:t>
      </w:r>
      <w:r w:rsidRPr="002B70B0">
        <w:rPr>
          <w:bCs/>
        </w:rPr>
        <w:t xml:space="preserve"> </w:t>
      </w:r>
      <w:r w:rsidRPr="002B70B0">
        <w:rPr>
          <w:rFonts w:hint="eastAsia"/>
          <w:bCs/>
        </w:rPr>
        <w:t>του</w:t>
      </w:r>
      <w:r w:rsidRPr="002B70B0">
        <w:rPr>
          <w:bCs/>
        </w:rPr>
        <w:t xml:space="preserve"> </w:t>
      </w:r>
      <w:r w:rsidRPr="002B70B0">
        <w:rPr>
          <w:rFonts w:hint="eastAsia"/>
          <w:bCs/>
        </w:rPr>
        <w:t>ετήσιου</w:t>
      </w:r>
      <w:r w:rsidRPr="002B70B0">
        <w:rPr>
          <w:bCs/>
        </w:rPr>
        <w:t xml:space="preserve"> </w:t>
      </w:r>
      <w:r w:rsidRPr="002B70B0">
        <w:rPr>
          <w:rFonts w:hint="eastAsia"/>
          <w:bCs/>
        </w:rPr>
        <w:t>σχεδίου</w:t>
      </w:r>
      <w:r w:rsidRPr="002B70B0">
        <w:rPr>
          <w:bCs/>
        </w:rPr>
        <w:t xml:space="preserve"> </w:t>
      </w:r>
      <w:r w:rsidRPr="002B70B0">
        <w:rPr>
          <w:rFonts w:hint="eastAsia"/>
          <w:bCs/>
        </w:rPr>
        <w:t>δράσης</w:t>
      </w:r>
      <w:r w:rsidRPr="002B70B0">
        <w:rPr>
          <w:bCs/>
        </w:rPr>
        <w:t xml:space="preserve"> </w:t>
      </w:r>
      <w:r w:rsidRPr="002B70B0">
        <w:rPr>
          <w:rFonts w:hint="eastAsia"/>
          <w:bCs/>
        </w:rPr>
        <w:t>υπέρ</w:t>
      </w:r>
      <w:r w:rsidRPr="002B70B0">
        <w:rPr>
          <w:bCs/>
        </w:rPr>
        <w:t xml:space="preserve"> </w:t>
      </w:r>
      <w:r w:rsidRPr="002B70B0">
        <w:rPr>
          <w:rFonts w:hint="eastAsia"/>
          <w:bCs/>
        </w:rPr>
        <w:t>της</w:t>
      </w:r>
      <w:r w:rsidRPr="002B70B0">
        <w:rPr>
          <w:bCs/>
        </w:rPr>
        <w:t xml:space="preserve"> </w:t>
      </w:r>
      <w:r w:rsidRPr="002B70B0">
        <w:rPr>
          <w:rFonts w:hint="eastAsia"/>
          <w:bCs/>
        </w:rPr>
        <w:t>Ηνωμένης</w:t>
      </w:r>
      <w:r w:rsidRPr="002B70B0">
        <w:rPr>
          <w:bCs/>
        </w:rPr>
        <w:t xml:space="preserve"> </w:t>
      </w:r>
      <w:r w:rsidRPr="002B70B0">
        <w:rPr>
          <w:rFonts w:hint="eastAsia"/>
          <w:bCs/>
        </w:rPr>
        <w:t>Δημοκρατίας</w:t>
      </w:r>
      <w:r w:rsidRPr="002B70B0">
        <w:rPr>
          <w:bCs/>
        </w:rPr>
        <w:t xml:space="preserve"> </w:t>
      </w:r>
      <w:r w:rsidRPr="002B70B0">
        <w:rPr>
          <w:rFonts w:hint="eastAsia"/>
          <w:bCs/>
        </w:rPr>
        <w:t>της</w:t>
      </w:r>
      <w:r w:rsidRPr="002B70B0">
        <w:rPr>
          <w:bCs/>
        </w:rPr>
        <w:t xml:space="preserve"> </w:t>
      </w:r>
      <w:r w:rsidRPr="002B70B0">
        <w:rPr>
          <w:rFonts w:hint="eastAsia"/>
          <w:bCs/>
        </w:rPr>
        <w:t>Τανζανίας</w:t>
      </w:r>
      <w:r w:rsidRPr="002B70B0">
        <w:rPr>
          <w:bCs/>
        </w:rPr>
        <w:t xml:space="preserve"> </w:t>
      </w:r>
      <w:r w:rsidRPr="002B70B0">
        <w:rPr>
          <w:rFonts w:hint="eastAsia"/>
          <w:bCs/>
        </w:rPr>
        <w:t>για</w:t>
      </w:r>
      <w:r w:rsidRPr="002B70B0">
        <w:rPr>
          <w:bCs/>
        </w:rPr>
        <w:t xml:space="preserve"> </w:t>
      </w:r>
      <w:r w:rsidRPr="002B70B0">
        <w:rPr>
          <w:rFonts w:hint="eastAsia"/>
          <w:bCs/>
        </w:rPr>
        <w:t>το</w:t>
      </w:r>
      <w:r w:rsidRPr="002B70B0">
        <w:rPr>
          <w:bCs/>
        </w:rPr>
        <w:t xml:space="preserve"> 2026</w:t>
      </w:r>
      <w:bookmarkEnd w:id="1"/>
    </w:p>
    <w:p w:rsidR="00747DBD" w:rsidRPr="002B70B0" w:rsidP="00747DBD" w14:paraId="144AAE85" w14:textId="77777777">
      <w:pPr>
        <w:rPr>
          <w:i/>
          <w:vanish/>
        </w:rPr>
      </w:pPr>
      <w:r>
        <w:rPr>
          <w:i/>
        </w:rPr>
        <w:fldChar w:fldCharType="begin"/>
      </w:r>
      <w:r w:rsidRPr="002B70B0">
        <w:rPr>
          <w:i/>
        </w:rPr>
        <w:instrText xml:space="preserve"> TC"(</w:instrText>
      </w:r>
      <w:bookmarkStart w:id="2" w:name="DocNumber"/>
      <w:r w:rsidRPr="002B70B0">
        <w:rPr>
          <w:i/>
        </w:rPr>
        <w:instrText>B10-0273/2026</w:instrText>
      </w:r>
      <w:bookmarkEnd w:id="2"/>
      <w:r w:rsidRPr="002B70B0">
        <w:rPr>
          <w:i/>
        </w:rPr>
        <w:instrText xml:space="preserve">)"\l3 \n&gt; \* MERGEFORMAT </w:instrText>
      </w:r>
      <w:r>
        <w:rPr>
          <w:i/>
        </w:rPr>
        <w:fldChar w:fldCharType="end"/>
      </w:r>
    </w:p>
    <w:p w:rsidR="00747DBD" w:rsidRPr="002B70B0" w:rsidP="00747DBD" w14:paraId="1015ED3A" w14:textId="77777777">
      <w:pPr>
        <w:rPr>
          <w:vanish/>
        </w:rPr>
      </w:pPr>
      <w:bookmarkStart w:id="3" w:name="PE"/>
      <w:r w:rsidRPr="002B70B0">
        <w:rPr>
          <w:vanish/>
        </w:rPr>
        <w:t>PE789.144</w:t>
      </w:r>
      <w:bookmarkEnd w:id="3"/>
    </w:p>
    <w:p w:rsidR="00747DBD" w:rsidRPr="002B70B0" w:rsidP="00747DBD" w14:paraId="343A736F" w14:textId="647BE1C2">
      <w:pPr>
        <w:pStyle w:val="ATHeading3"/>
      </w:pPr>
      <w:bookmarkStart w:id="4" w:name="Sujet"/>
      <w:r w:rsidRPr="002B70B0">
        <w:t xml:space="preserve">Ψήφισμα του Ευρωπαϊκού Κοινοβουλίου της </w:t>
      </w:r>
      <w:r w:rsidRPr="002B70B0" w:rsidR="00DF4438">
        <w:t xml:space="preserve">18ης Ιουνίου </w:t>
      </w:r>
      <w:r w:rsidRPr="002B70B0">
        <w:t>2026 σχετικά με το σχέδιο εκτελεστικής απόφασης της Επιτροπής για τη χρηματοδότηση του ετήσιου σχεδίου δράσης υπέρ της Ενωμένης Δημοκρατίας της Τανζανίας για το 2026</w:t>
      </w:r>
      <w:bookmarkStart w:id="5" w:name="References"/>
      <w:bookmarkEnd w:id="4"/>
      <w:r w:rsidRPr="002B70B0" w:rsidR="00DF4438">
        <w:t xml:space="preserve"> </w:t>
      </w:r>
      <w:r w:rsidRPr="002B70B0">
        <w:t>(D115284/01 – 2026/2749(RSP))</w:t>
      </w:r>
      <w:bookmarkEnd w:id="5"/>
    </w:p>
    <w:p w:rsidR="00423FC9" w:rsidRPr="002B70B0" w:rsidP="00423FC9" w14:paraId="30CAA827" w14:textId="77777777">
      <w:pPr>
        <w:pStyle w:val="EPComma"/>
      </w:pPr>
      <w:bookmarkStart w:id="6" w:name="TextBodyBegin"/>
      <w:bookmarkEnd w:id="6"/>
      <w:r w:rsidRPr="002B70B0">
        <w:rPr>
          <w:i/>
          <w:iCs/>
        </w:rPr>
        <w:t>Το Ευρωπαϊκό Κοινοβούλιο,</w:t>
      </w:r>
    </w:p>
    <w:p w:rsidR="00423FC9" w:rsidRPr="002B70B0" w:rsidP="00DF4438" w14:paraId="69A1A673" w14:textId="77777777">
      <w:pPr>
        <w:pStyle w:val="NormalHanging12a"/>
        <w:widowControl/>
      </w:pPr>
      <w:r w:rsidRPr="002B70B0">
        <w:t>–</w:t>
      </w:r>
      <w:r w:rsidRPr="002B70B0">
        <w:tab/>
        <w:t>έχοντας υπόψη το σχέδιο εκτελεστικής απόφασης της Επιτροπής σχετικά με τη χρηματοδότηση του ετήσιου σχεδίου δράσης υπέρ της Ηνωμένης Δημοκρατίας της Τανζανίας για το 2026 (D115284/01),</w:t>
      </w:r>
    </w:p>
    <w:p w:rsidR="00423FC9" w:rsidRPr="002B70B0" w:rsidP="00DF4438" w14:paraId="797B7226" w14:textId="77777777">
      <w:pPr>
        <w:pStyle w:val="NormalHanging12a"/>
        <w:widowControl/>
      </w:pPr>
      <w:r w:rsidRPr="002B70B0">
        <w:t>–</w:t>
      </w:r>
      <w:r w:rsidRPr="002B70B0">
        <w:tab/>
        <w:t>έχοντας υπόψη τον κανονισμό (ΕΕ) 2021/947 του Ευρωπαϊκού Κοινοβουλίου και του Συμβουλίου, της 9ης Ιουνίου 2021, για τη θέσπιση Μηχανισμού Γειτονίας, Ανάπτυξης και Διεθνούς Συνεργασίας – Παγκόσμια Ευρώπη, για την τροποποίηση και κατάργηση της απόφασης αριθ. 466/2014/ΕΕ του Ευρωπαϊκού Κοινοβουλίου και του Συμβουλίου και την κατάργηση του κανονισμού (ΕΕ) 2017/1601 του Ευρωπαϊκού Κοινοβουλίου και του Συμβουλίου και του κανονισμού (ΕΚ, Ευρατόμ) αριθ. 480/2009 του Συμβουλίου</w:t>
      </w:r>
      <w:r>
        <w:rPr>
          <w:vertAlign w:val="superscript"/>
        </w:rPr>
        <w:footnoteReference w:id="2"/>
      </w:r>
      <w:r w:rsidRPr="002B70B0">
        <w:t xml:space="preserve"> (κανονισμός ΜΓΑΔΣ-Παγκόσμια Ευρώπη), και ιδίως το άρθρο 25 αυτού,</w:t>
      </w:r>
    </w:p>
    <w:p w:rsidR="00423FC9" w:rsidRPr="002B70B0" w:rsidP="00DF4438" w14:paraId="0FD71CFC" w14:textId="77777777">
      <w:pPr>
        <w:pStyle w:val="NormalHanging12a"/>
        <w:widowControl/>
      </w:pPr>
      <w:r w:rsidRPr="002B70B0">
        <w:t>–</w:t>
      </w:r>
      <w:r w:rsidRPr="002B70B0">
        <w:tab/>
        <w:t>έχοντας υπόψη τη γνώμη που εξέδωσε στις 20 Μαΐου 2026 η επιτροπή που αναφέρεται στο άρθρο 45 του κανονισμού (ΕΕ) 2021/947,</w:t>
      </w:r>
    </w:p>
    <w:p w:rsidR="00423FC9" w:rsidRPr="002B70B0" w:rsidP="00DF4438" w14:paraId="4A7FA8B8" w14:textId="77777777">
      <w:pPr>
        <w:pStyle w:val="NormalHanging12a"/>
        <w:widowControl/>
      </w:pPr>
      <w:r w:rsidRPr="002B70B0">
        <w:t>–</w:t>
      </w:r>
      <w:r w:rsidRPr="002B70B0">
        <w:tab/>
        <w:t>έχοντας υπόψη το άρθρο 11 του κανονισμού (ΕE)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w:t>
      </w:r>
      <w:r>
        <w:rPr>
          <w:vertAlign w:val="superscript"/>
        </w:rPr>
        <w:footnoteReference w:id="3"/>
      </w:r>
      <w:r w:rsidRPr="002B70B0">
        <w:t>,</w:t>
      </w:r>
    </w:p>
    <w:p w:rsidR="00423FC9" w:rsidRPr="002B70B0" w:rsidP="00DF4438" w14:paraId="1E786506" w14:textId="77777777">
      <w:pPr>
        <w:pStyle w:val="NormalHanging12a"/>
        <w:widowControl/>
      </w:pPr>
      <w:r w:rsidRPr="002B70B0">
        <w:t>–</w:t>
      </w:r>
      <w:r w:rsidRPr="002B70B0">
        <w:tab/>
        <w:t>έχοντας υπόψη το ψήφισμα του Ευρωπαϊκού Κοινοβουλίου, της 27ης Νοεμβρίου 2025, σχετικά με το σχέδιο εκτελεστικής απόφασης της Επιτροπής για τη χρηματοδότηση του ετήσιου σχεδίου δράσης υπέρ της Ενωμένης Δημοκρατίας της Τανζανίας για το 2025</w:t>
      </w:r>
      <w:r>
        <w:rPr>
          <w:vertAlign w:val="superscript"/>
        </w:rPr>
        <w:footnoteReference w:id="4"/>
      </w:r>
      <w:r w:rsidRPr="002B70B0">
        <w:t>,</w:t>
      </w:r>
    </w:p>
    <w:p w:rsidR="00423FC9" w:rsidRPr="002B70B0" w:rsidP="00DF4438" w14:paraId="0BC86A47" w14:textId="77777777">
      <w:pPr>
        <w:pStyle w:val="NormalHanging12a"/>
        <w:widowControl/>
      </w:pPr>
      <w:r w:rsidRPr="002B70B0">
        <w:t>–</w:t>
      </w:r>
      <w:r w:rsidRPr="002B70B0">
        <w:tab/>
        <w:t xml:space="preserve">έχοντας υπόψη το ψήφισμα του Ευρωπαϊκού Κοινοβουλίου, της 27ης Νοεμβρίου 2025, σχετικά με τις δολοφονίες μετά τις εκλογές και την επιδείνωση της κατάστασης των </w:t>
      </w:r>
      <w:r w:rsidRPr="002B70B0">
        <w:t xml:space="preserve">ανθρωπίνων δικαιωμάτων στην Τανζανία, συμπεριλαμβανομένης της υπόθεσης του φυλακισμένου ηγέτη της αντιπολίτευσης </w:t>
      </w:r>
      <w:r w:rsidRPr="002B70B0">
        <w:t>Tundu</w:t>
      </w:r>
      <w:r w:rsidRPr="002B70B0">
        <w:t xml:space="preserve"> </w:t>
      </w:r>
      <w:r w:rsidRPr="002B70B0">
        <w:t>Lissu</w:t>
      </w:r>
      <w:r w:rsidRPr="002B70B0">
        <w:t>,</w:t>
      </w:r>
    </w:p>
    <w:p w:rsidR="00423FC9" w:rsidRPr="002B70B0" w:rsidP="00DF4438" w14:paraId="22A1EA21" w14:textId="77777777">
      <w:pPr>
        <w:pStyle w:val="NormalHanging12a"/>
        <w:widowControl/>
      </w:pPr>
      <w:r w:rsidRPr="002B70B0">
        <w:t>–</w:t>
      </w:r>
      <w:r w:rsidRPr="002B70B0">
        <w:tab/>
        <w:t xml:space="preserve">έχοντας υπόψη το ψήφισμα του Ευρωπαϊκού Κοινοβουλίου, της 8ης Μαΐου 2025, σχετικά με τη σύλληψη και τον κίνδυνο εκτέλεσης του </w:t>
      </w:r>
      <w:r w:rsidRPr="002B70B0">
        <w:t>Tundu</w:t>
      </w:r>
      <w:r w:rsidRPr="002B70B0">
        <w:t xml:space="preserve"> </w:t>
      </w:r>
      <w:r w:rsidRPr="002B70B0">
        <w:t>Lissu</w:t>
      </w:r>
      <w:r w:rsidRPr="002B70B0">
        <w:t xml:space="preserve">, προέδρου του κόμματος </w:t>
      </w:r>
      <w:r w:rsidRPr="002B70B0">
        <w:t>Chadema</w:t>
      </w:r>
      <w:r w:rsidRPr="002B70B0">
        <w:t>, της αξιωματικής αντιπολίτευσης στην Τανζανία,</w:t>
      </w:r>
    </w:p>
    <w:p w:rsidR="00423FC9" w:rsidRPr="002B70B0" w:rsidP="00DF4438" w14:paraId="389FC0A4" w14:textId="77777777">
      <w:pPr>
        <w:pStyle w:val="NormalHanging12a"/>
        <w:widowControl/>
      </w:pPr>
      <w:r w:rsidRPr="002B70B0">
        <w:t>–</w:t>
      </w:r>
      <w:r w:rsidRPr="002B70B0">
        <w:tab/>
        <w:t>έχοντας υπόψη το άρθρο 115 παράγραφοι 2 και 3 του Κανονισμού,</w:t>
      </w:r>
    </w:p>
    <w:p w:rsidR="00423FC9" w:rsidRPr="002B70B0" w:rsidP="00DF4438" w14:paraId="63AE2672" w14:textId="77777777">
      <w:pPr>
        <w:pStyle w:val="NormalHanging12a"/>
        <w:widowControl/>
      </w:pPr>
      <w:r w:rsidRPr="002B70B0">
        <w:t>–</w:t>
      </w:r>
      <w:r w:rsidRPr="002B70B0">
        <w:tab/>
        <w:t>έχοντας υπόψη τις κοινές διαβουλεύσεις της Επιτροπής Εξωτερικών Υποθέσεων και της Επιτροπής Ανάπτυξης σύμφωνα με το άρθρο 59 του Κανονισμού,</w:t>
      </w:r>
    </w:p>
    <w:p w:rsidR="00423FC9" w:rsidRPr="002B70B0" w:rsidP="00DF4438" w14:paraId="2B05DF92" w14:textId="77777777">
      <w:pPr>
        <w:pStyle w:val="NormalHanging12a"/>
        <w:widowControl/>
      </w:pPr>
      <w:r w:rsidRPr="002B70B0">
        <w:t>–</w:t>
      </w:r>
      <w:r w:rsidRPr="002B70B0">
        <w:tab/>
        <w:t>έχοντας υπόψη την πρόταση ψηφίσματος της Επιτροπής Εξωτερικών Υποθέσεων και της Επιτροπής Ανάπτυξης,</w:t>
      </w:r>
    </w:p>
    <w:p w:rsidR="00423FC9" w:rsidRPr="002B70B0" w:rsidP="00DF4438" w14:paraId="1B5EBD0E" w14:textId="77777777">
      <w:pPr>
        <w:pStyle w:val="NormalHanging12a"/>
        <w:widowControl/>
      </w:pPr>
      <w:r w:rsidRPr="002B70B0">
        <w:t>Α.</w:t>
      </w:r>
      <w:r w:rsidRPr="002B70B0">
        <w:tab/>
        <w:t>λαμβάνοντας υπόψη ότι, τον Νοέμβριο του 2025, η Επιτροπή ανέστειλε τη διαδικασία έγκρισης του σχεδίου εκτελεστικής απόφασης σχετικά με τη χρηματοδότηση του ετήσιου σχεδίου δράσης υπέρ της Ενωμένης Δημοκρατίας της Τανζανίας για το 2025 λόγω των ανησυχιών που εξέφρασε το Ευρωπαϊκό Κοινοβούλιο·</w:t>
      </w:r>
    </w:p>
    <w:p w:rsidR="00423FC9" w:rsidRPr="002B70B0" w:rsidP="00DF4438" w14:paraId="1C8793D6" w14:textId="77777777">
      <w:pPr>
        <w:pStyle w:val="NormalHanging12a"/>
        <w:widowControl/>
      </w:pPr>
      <w:r w:rsidRPr="002B70B0">
        <w:t>Β.</w:t>
      </w:r>
      <w:r w:rsidRPr="002B70B0">
        <w:tab/>
        <w:t>λαμβάνοντας υπόψη ότι, στις 20 Μαΐου 2026, το αναθεωρημένο σχέδιο εκτελεστικής απόφασης της Επιτροπής υποβλήθηκε στην επιτροπή ΜΓΑΔΣ-Παγκόσμια Ευρώπη·</w:t>
      </w:r>
    </w:p>
    <w:p w:rsidR="00423FC9" w:rsidRPr="002B70B0" w:rsidP="00DF4438" w14:paraId="183F32BD" w14:textId="77777777">
      <w:pPr>
        <w:pStyle w:val="NormalHanging12a"/>
        <w:widowControl/>
      </w:pPr>
      <w:r w:rsidRPr="002B70B0">
        <w:t>Γ.</w:t>
      </w:r>
      <w:r w:rsidRPr="002B70B0">
        <w:tab/>
        <w:t>λαμβάνοντας υπόψη ότι το αναθεωρημένο σχέδιο εκτελεστικής απόφασης της Επιτροπής διατηρεί το ίδιο συνολικό ποσό και, σε γενικές γραμμές, τις ίδιες δράσεις με το προηγούμενο σχέδιο απόφασης, προτείνοντας παράλληλα η υλοποίηση να πραγματοποιηθεί κυρίως μέσω έμμεσης διαχείρισης και όχι μέσω άμεσης δημοσιονομικής στήριξης προς τις αρχές της Τανζανίας·</w:t>
      </w:r>
    </w:p>
    <w:p w:rsidR="00423FC9" w:rsidRPr="002B70B0" w:rsidP="00DF4438" w14:paraId="4B8A46C4" w14:textId="77777777">
      <w:pPr>
        <w:pStyle w:val="NormalHanging12a"/>
        <w:widowControl/>
      </w:pPr>
      <w:r w:rsidRPr="002B70B0">
        <w:t>Δ.</w:t>
      </w:r>
      <w:r w:rsidRPr="002B70B0">
        <w:tab/>
        <w:t xml:space="preserve">λαμβάνοντας υπόψη ότι η εθνική εξεταστική επιτροπή της Τανζανίας για τη διερεύνηση των βιαιοπραγιών που συνόδευσαν τις εκλογές της 29ης Οκτωβρίου 2025 αναγνώρισε στις 23 Απριλίου 2026 ότι τουλάχιστον 518 άνθρωποι είχαν χάσει τη ζωή τους, αλλά δεν </w:t>
      </w:r>
      <w:r w:rsidRPr="002B70B0">
        <w:t>ταυτοποίησε</w:t>
      </w:r>
      <w:r w:rsidRPr="002B70B0">
        <w:t xml:space="preserve"> τους υπεύθυνους, εμποδίζοντας έτσι τη λογοδοσία και τη δικαιοσύνη για τα θύματα, και δεν δημοσιοποίησε τα πορίσματά της· </w:t>
      </w:r>
    </w:p>
    <w:p w:rsidR="00423FC9" w:rsidRPr="002B70B0" w:rsidP="00DF4438" w14:paraId="12C99955" w14:textId="77777777">
      <w:pPr>
        <w:pStyle w:val="NormalHanging12a"/>
        <w:widowControl/>
      </w:pPr>
      <w:r w:rsidRPr="002B70B0">
        <w:t>Ε.</w:t>
      </w:r>
      <w:r w:rsidRPr="002B70B0">
        <w:tab/>
        <w:t>λαμβάνοντας υπόψη ότι οι αρχές της Τανζανίας αρνήθηκαν την επίσκεψη αντιπροσωπείας της Υποεπιτροπής Ανθρωπίνων Δικαιωμάτων του Ευρωπαϊκού Κοινοβουλίου τον Μάιο του 2026·</w:t>
      </w:r>
    </w:p>
    <w:p w:rsidR="00423FC9" w:rsidRPr="002B70B0" w:rsidP="00DF4438" w14:paraId="5B0C1A55" w14:textId="77777777">
      <w:pPr>
        <w:pStyle w:val="NormalHanging12a"/>
        <w:widowControl/>
      </w:pPr>
      <w:r w:rsidRPr="002B70B0">
        <w:t>ΣΤ.</w:t>
      </w:r>
      <w:r w:rsidRPr="002B70B0">
        <w:tab/>
        <w:t xml:space="preserve">λαμβάνοντας υπόψη ότι ο </w:t>
      </w:r>
      <w:r w:rsidRPr="002B70B0">
        <w:t>Tundu</w:t>
      </w:r>
      <w:r w:rsidRPr="002B70B0">
        <w:t xml:space="preserve"> </w:t>
      </w:r>
      <w:r w:rsidRPr="002B70B0">
        <w:t>Lissu</w:t>
      </w:r>
      <w:r w:rsidRPr="002B70B0">
        <w:t xml:space="preserve">, ηγέτης του κόμματος </w:t>
      </w:r>
      <w:r w:rsidRPr="002B70B0">
        <w:t>Chadema</w:t>
      </w:r>
      <w:r w:rsidRPr="002B70B0">
        <w:t>, της αξιωματικής αντιπολίτευσης της Τανζανίας, βρίσκεται υπό κράτηση για διάστημα μεγαλύτερο τους ενός έτους και αντιμετωπίζει πολιτικά υποκινούμενες κατηγορίες που επισύρουν σοβαρές νομικές συνέπειες, συμπεριλαμβανομένης της θανατικής ποινής·</w:t>
      </w:r>
    </w:p>
    <w:p w:rsidR="00423FC9" w:rsidRPr="002B70B0" w:rsidP="00DF4438" w14:paraId="7A5B2184" w14:textId="6B6E789A">
      <w:pPr>
        <w:pStyle w:val="NormalHanging12a"/>
        <w:widowControl/>
      </w:pPr>
      <w:r w:rsidRPr="002B70B0">
        <w:t>Ζ.</w:t>
      </w:r>
      <w:r w:rsidRPr="002B70B0">
        <w:tab/>
        <w:t>λαμβάνοντας υπόψη ότι η κυβέρνηση της Τανζανίας δεν εκπλήρωσε κανένα από τα αιτήματα που διατύπωσε το Ευρωπαϊκό Κοινοβούλιο στα ψηφίσματά του, της 8ης</w:t>
      </w:r>
      <w:r w:rsidRPr="002B70B0" w:rsidR="007D08B4">
        <w:t> </w:t>
      </w:r>
      <w:r w:rsidRPr="002B70B0">
        <w:t>Μαΐου και της 27ης Νοεμβρίου 2025, συμπεριλαμβανομένων, μεταξύ άλλων, των αιτημάτων για την άμεση και άνευ όρων απελευθέρωση των μελών της αντιπολίτευσης, για βελτιώσεις στην κατάσταση των ανθρωπίνων δικαιωμάτων, και για τη σύσταση ανεξάρτητης και αμερόληπτης διεθνούς εξεταστικής επιτροπής για τη διερεύνηση της μετεκλογικής βίας·</w:t>
      </w:r>
    </w:p>
    <w:p w:rsidR="00423FC9" w:rsidRPr="002B70B0" w:rsidP="00DF4438" w14:paraId="1521C1B6" w14:textId="77777777">
      <w:pPr>
        <w:pStyle w:val="NormalHanging12a"/>
        <w:widowControl/>
      </w:pPr>
      <w:r w:rsidRPr="002B70B0">
        <w:t>Η.</w:t>
      </w:r>
      <w:r w:rsidRPr="002B70B0">
        <w:tab/>
        <w:t>λαμβάνοντας υπόψη ότι η Επιτροπή και η Ευρωπαϊκή Υπηρεσία Εξωτερικής Δράσης δεν έχουν αποδείξει αποτελεσματικά ότι έχουν αντιμετωπίσει τις πραγματικές ανησυχίες που οδήγησαν στην αντίρρηση τον Νοέμβριο του 2025·</w:t>
      </w:r>
    </w:p>
    <w:p w:rsidR="00423FC9" w:rsidRPr="002B70B0" w:rsidP="00DF4438" w14:paraId="4B11273A" w14:textId="77777777">
      <w:pPr>
        <w:pStyle w:val="NormalHanging12a"/>
        <w:widowControl/>
      </w:pPr>
      <w:r w:rsidRPr="002B70B0">
        <w:t>1.</w:t>
      </w:r>
      <w:r w:rsidRPr="002B70B0">
        <w:tab/>
        <w:t>θεωρεί ότι το σχέδιο εκτελεστικής απόφασης της Επιτροπής υπερβαίνει τις εκτελεστικές αρμοδιότητες που προβλέπει ο κανονισμός (ΕΕ) 2021/947·</w:t>
      </w:r>
    </w:p>
    <w:p w:rsidR="00423FC9" w:rsidRPr="002B70B0" w:rsidP="00DF4438" w14:paraId="6C1ABA2E" w14:textId="77777777">
      <w:pPr>
        <w:pStyle w:val="NormalHanging12a"/>
        <w:widowControl/>
      </w:pPr>
      <w:r w:rsidRPr="002B70B0">
        <w:t>2.</w:t>
      </w:r>
      <w:r w:rsidRPr="002B70B0">
        <w:tab/>
        <w:t>θεωρεί ότι το σχέδιο εκτελεστικής απόφασης της Επιτροπής δεν είναι σύμφωνο προς το δίκαιο της Ένωσης, υπό την έννοια ότι δεν συνάδει με τον σκοπό του κανονισμού (ΕΕ) 2021/947·</w:t>
      </w:r>
    </w:p>
    <w:p w:rsidR="00423FC9" w:rsidRPr="002B70B0" w:rsidP="00DF4438" w14:paraId="586555F2" w14:textId="77777777">
      <w:pPr>
        <w:pStyle w:val="NormalHanging12a"/>
        <w:widowControl/>
      </w:pPr>
      <w:r w:rsidRPr="002B70B0">
        <w:t>3.</w:t>
      </w:r>
      <w:r w:rsidRPr="002B70B0">
        <w:tab/>
        <w:t>θεωρεί ότι το σχέδιο εκτελεστικής απόφασης της Επιτροπής δεν λαμβάνει επαρκώς υπόψη τις ανησυχίες που εξέφρασε το Ευρωπαϊκό Κοινοβούλιο στο ψήφισμά του, της 27ης Νοεμβρίου 2025·</w:t>
      </w:r>
    </w:p>
    <w:p w:rsidR="00423FC9" w:rsidRPr="002B70B0" w:rsidP="00DF4438" w14:paraId="429EF9A8" w14:textId="77777777">
      <w:pPr>
        <w:pStyle w:val="NormalHanging12a"/>
        <w:widowControl/>
      </w:pPr>
      <w:r w:rsidRPr="002B70B0">
        <w:t>4.</w:t>
      </w:r>
      <w:r w:rsidRPr="002B70B0">
        <w:tab/>
        <w:t>εκφράζει τη δυσαρέσκειά του για το γεγονός ότι η Επιτροπή δεν ανέστειλε, για ακόμη μια φορά, τη διαδικασία έγκρισης του σχεδίου εκτελεστικής απόφασης μόλις ενημερώθηκε για τις ανησυχίες του Ευρωπαϊκού Κοινοβουλίου· αποδοκιμάζει το γεγονός ότι η Επιτροπή και η ΕΥΕΔ δεν έλαβαν υπόψη τις ανησυχίες που εξέφρασε το Ευρωπαϊκό Κοινοβούλιο στα ψηφίσματά του σχετικά με την Τανζανία·</w:t>
      </w:r>
    </w:p>
    <w:p w:rsidR="00423FC9" w:rsidRPr="002B70B0" w:rsidP="00DF4438" w14:paraId="67DC8C94" w14:textId="77777777">
      <w:pPr>
        <w:pStyle w:val="NormalHanging12a"/>
        <w:widowControl/>
      </w:pPr>
      <w:r w:rsidRPr="002B70B0">
        <w:t>5.</w:t>
      </w:r>
      <w:r w:rsidRPr="002B70B0">
        <w:tab/>
        <w:t>καλεί την Επιτροπή να αποσύρει το σχέδιο εκτελεστικής απόφασής της και να υποβάλει νέο σχέδιο στην επιτροπή, διασφαλίζοντας παράλληλα ότι τυχόν νέες αλλαγές δεν επηρεάζουν αρνητικά τη συμπεριληπτική παροχή βασικών υπηρεσιών στον πληθυσμό, την προστασία των ανθρωπίνων δικαιωμάτων και της δημοκρατίας ή τη στήριξη των οργανώσεων της κοινωνίας των πολιτών·</w:t>
      </w:r>
    </w:p>
    <w:p w:rsidR="009A4937" w:rsidRPr="002B70B0" w:rsidP="00DF4438" w14:paraId="1309EED9" w14:textId="1AD03950">
      <w:pPr>
        <w:pStyle w:val="NormalHanging12a"/>
        <w:widowControl/>
      </w:pPr>
      <w:r w:rsidRPr="002B70B0">
        <w:t>6.</w:t>
      </w:r>
      <w:r w:rsidRPr="002B70B0">
        <w:tab/>
        <w:t>αναθέτει στην Πρόεδρό του να διαβιβάσει το παρόν ψήφισμα στο Συμβούλιο και στην Επιτροπή, καθώς και στις κυβερνήσεις και στα κοινοβούλια των κρατών μελών.</w:t>
      </w:r>
    </w:p>
    <w:p w:rsidR="00E365E1" w:rsidRPr="002B70B0" w:rsidP="00DF4438" w14:paraId="5A8CC3F6" w14:textId="5AAFC993">
      <w:pPr>
        <w:widowControl/>
        <w:spacing w:after="240"/>
        <w:ind w:left="567" w:hanging="567"/>
      </w:pPr>
    </w:p>
    <w:sectPr w:rsidSect="009A4937">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A4937" w14:paraId="4F2CA11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A4937" w14:paraId="1110BB5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A4937" w14:paraId="6426D08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47DBD" w:rsidRPr="009A4937" w14:paraId="5A30D56D" w14:textId="77777777">
      <w:r w:rsidRPr="009A4937">
        <w:separator/>
      </w:r>
    </w:p>
  </w:footnote>
  <w:footnote w:type="continuationSeparator" w:id="1">
    <w:p w:rsidR="00747DBD" w:rsidRPr="009A4937" w14:paraId="114FD59D" w14:textId="77777777">
      <w:r w:rsidRPr="009A4937">
        <w:continuationSeparator/>
      </w:r>
    </w:p>
  </w:footnote>
  <w:footnote w:id="2">
    <w:p w:rsidR="00423FC9" w:rsidRPr="009A4937" w:rsidP="009A4937" w14:paraId="3AA7C41E" w14:textId="6FE9FDA3">
      <w:pPr>
        <w:pStyle w:val="FootnoteText"/>
        <w:ind w:left="567" w:hanging="567"/>
        <w:rPr>
          <w:sz w:val="24"/>
          <w:szCs w:val="24"/>
          <w:lang w:val="el-GR"/>
        </w:rPr>
      </w:pPr>
      <w:r w:rsidRPr="009A4937">
        <w:rPr>
          <w:rStyle w:val="FootnoteReference"/>
          <w:sz w:val="24"/>
          <w:lang w:val="el-GR"/>
        </w:rPr>
        <w:footnoteRef/>
      </w:r>
      <w:r w:rsidRPr="009A4937" w:rsidR="009A4937">
        <w:rPr>
          <w:sz w:val="24"/>
          <w:lang w:val="el-GR"/>
        </w:rPr>
        <w:t xml:space="preserve"> </w:t>
      </w:r>
      <w:r w:rsidRPr="009A4937" w:rsidR="009A4937">
        <w:rPr>
          <w:sz w:val="24"/>
          <w:lang w:val="el-GR"/>
        </w:rPr>
        <w:tab/>
      </w:r>
      <w:r w:rsidRPr="009A4937">
        <w:rPr>
          <w:sz w:val="24"/>
          <w:lang w:val="el-GR"/>
        </w:rPr>
        <w:t xml:space="preserve">ΕΕ L 209 της 14.6.2021, σ. 1, ELI: </w:t>
      </w:r>
      <w:hyperlink r:id="rId1" w:tgtFrame="http://data.europa.eu/eli/reg/2021/947/oj" w:history="1">
        <w:r w:rsidRPr="009A4937">
          <w:rPr>
            <w:rStyle w:val="Hyperlink"/>
            <w:sz w:val="24"/>
            <w:lang w:val="el-GR"/>
          </w:rPr>
          <w:t>http://data.europa.eu/eli/reg/2021/947/oj.</w:t>
        </w:r>
      </w:hyperlink>
    </w:p>
  </w:footnote>
  <w:footnote w:id="3">
    <w:p w:rsidR="00423FC9" w:rsidRPr="009A4937" w:rsidP="009A4937" w14:paraId="511B8E76" w14:textId="653951A7">
      <w:pPr>
        <w:pStyle w:val="FootnoteText"/>
        <w:ind w:left="567" w:hanging="567"/>
        <w:rPr>
          <w:sz w:val="24"/>
          <w:szCs w:val="24"/>
          <w:lang w:val="el-GR"/>
        </w:rPr>
      </w:pPr>
      <w:r w:rsidRPr="009A4937">
        <w:rPr>
          <w:rStyle w:val="FootnoteReference"/>
          <w:sz w:val="24"/>
          <w:szCs w:val="24"/>
          <w:lang w:val="el-GR"/>
        </w:rPr>
        <w:footnoteRef/>
      </w:r>
      <w:r w:rsidRPr="009A4937" w:rsidR="009A4937">
        <w:rPr>
          <w:sz w:val="24"/>
          <w:lang w:val="el-GR"/>
        </w:rPr>
        <w:t xml:space="preserve"> </w:t>
      </w:r>
      <w:r w:rsidRPr="009A4937" w:rsidR="009A4937">
        <w:rPr>
          <w:sz w:val="24"/>
          <w:lang w:val="el-GR"/>
        </w:rPr>
        <w:tab/>
      </w:r>
      <w:r w:rsidRPr="009A4937">
        <w:rPr>
          <w:sz w:val="24"/>
          <w:lang w:val="el-GR"/>
        </w:rPr>
        <w:t xml:space="preserve">ΕΕ L 55 της 28.2.2011, σ. </w:t>
      </w:r>
      <w:r w:rsidRPr="009A4937">
        <w:rPr>
          <w:sz w:val="24"/>
          <w:lang w:val="el-GR"/>
        </w:rPr>
        <w:t xml:space="preserve">13, ELI: </w:t>
      </w:r>
      <w:hyperlink r:id="rId2" w:tooltip="Πρόσβαση στο έγγραφο μέσω URI τύπου ELI." w:history="1">
        <w:r w:rsidRPr="009A4937">
          <w:rPr>
            <w:rStyle w:val="Hyperlink"/>
            <w:sz w:val="24"/>
            <w:lang w:val="el-GR"/>
          </w:rPr>
          <w:t>http://data.europa.eu/eli/reg/2011/182/oj</w:t>
        </w:r>
      </w:hyperlink>
      <w:r w:rsidRPr="009A4937">
        <w:rPr>
          <w:rStyle w:val="Hyperlink"/>
          <w:sz w:val="24"/>
          <w:lang w:val="el-GR"/>
        </w:rPr>
        <w:t>.</w:t>
      </w:r>
    </w:p>
  </w:footnote>
  <w:footnote w:id="4">
    <w:p w:rsidR="00423FC9" w:rsidRPr="009A4937" w:rsidP="009A4937" w14:paraId="29351D5C" w14:textId="20D09523">
      <w:pPr>
        <w:pStyle w:val="FootnoteText"/>
        <w:ind w:left="567" w:hanging="567"/>
        <w:rPr>
          <w:sz w:val="24"/>
          <w:lang w:val="el-GR"/>
        </w:rPr>
      </w:pPr>
      <w:r w:rsidRPr="009A4937">
        <w:rPr>
          <w:rStyle w:val="FootnoteReference"/>
          <w:sz w:val="24"/>
          <w:szCs w:val="24"/>
          <w:lang w:val="el-GR"/>
        </w:rPr>
        <w:footnoteRef/>
      </w:r>
      <w:r w:rsidRPr="009A4937" w:rsidR="009A4937">
        <w:rPr>
          <w:sz w:val="24"/>
          <w:lang w:val="el-GR"/>
        </w:rPr>
        <w:t xml:space="preserve"> </w:t>
      </w:r>
      <w:r w:rsidRPr="009A4937" w:rsidR="009A4937">
        <w:rPr>
          <w:sz w:val="24"/>
          <w:lang w:val="el-GR"/>
        </w:rPr>
        <w:tab/>
      </w:r>
      <w:r w:rsidRPr="009A4937">
        <w:rPr>
          <w:sz w:val="24"/>
          <w:lang w:val="el-GR"/>
        </w:rPr>
        <w:t>Κείμενα που εγκρίθηκαν, P10_TA(2025)0314.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A4937" w14:paraId="3412D24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A4937" w14:paraId="6DDCDE0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A4937" w14:paraId="70FE5AF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53224680">
    <w:abstractNumId w:val="9"/>
  </w:num>
  <w:num w:numId="2" w16cid:durableId="19206592">
    <w:abstractNumId w:val="9"/>
  </w:num>
  <w:num w:numId="3" w16cid:durableId="1246842628">
    <w:abstractNumId w:val="7"/>
  </w:num>
  <w:num w:numId="4" w16cid:durableId="1613783576">
    <w:abstractNumId w:val="7"/>
  </w:num>
  <w:num w:numId="5" w16cid:durableId="93676234">
    <w:abstractNumId w:val="6"/>
  </w:num>
  <w:num w:numId="6" w16cid:durableId="2093039583">
    <w:abstractNumId w:val="6"/>
  </w:num>
  <w:num w:numId="7" w16cid:durableId="1834564707">
    <w:abstractNumId w:val="5"/>
  </w:num>
  <w:num w:numId="8" w16cid:durableId="826173141">
    <w:abstractNumId w:val="5"/>
  </w:num>
  <w:num w:numId="9" w16cid:durableId="1237864038">
    <w:abstractNumId w:val="4"/>
  </w:num>
  <w:num w:numId="10" w16cid:durableId="1088431582">
    <w:abstractNumId w:val="4"/>
  </w:num>
  <w:num w:numId="11" w16cid:durableId="25297248">
    <w:abstractNumId w:val="8"/>
  </w:num>
  <w:num w:numId="12" w16cid:durableId="282662131">
    <w:abstractNumId w:val="8"/>
  </w:num>
  <w:num w:numId="13" w16cid:durableId="963465898">
    <w:abstractNumId w:val="3"/>
  </w:num>
  <w:num w:numId="14" w16cid:durableId="264962173">
    <w:abstractNumId w:val="3"/>
  </w:num>
  <w:num w:numId="15" w16cid:durableId="979723974">
    <w:abstractNumId w:val="2"/>
  </w:num>
  <w:num w:numId="16" w16cid:durableId="1362973487">
    <w:abstractNumId w:val="2"/>
  </w:num>
  <w:num w:numId="17" w16cid:durableId="1448426589">
    <w:abstractNumId w:val="1"/>
  </w:num>
  <w:num w:numId="18" w16cid:durableId="1034766894">
    <w:abstractNumId w:val="1"/>
  </w:num>
  <w:num w:numId="19" w16cid:durableId="693573407">
    <w:abstractNumId w:val="0"/>
  </w:num>
  <w:num w:numId="20" w16cid:durableId="1732999148">
    <w:abstractNumId w:val="0"/>
  </w:num>
  <w:num w:numId="21" w16cid:durableId="860051655">
    <w:abstractNumId w:val="9"/>
  </w:num>
  <w:num w:numId="22" w16cid:durableId="2088533327">
    <w:abstractNumId w:val="7"/>
  </w:num>
  <w:num w:numId="23" w16cid:durableId="1295603160">
    <w:abstractNumId w:val="6"/>
  </w:num>
  <w:num w:numId="24" w16cid:durableId="138617743">
    <w:abstractNumId w:val="5"/>
  </w:num>
  <w:num w:numId="25" w16cid:durableId="472523169">
    <w:abstractNumId w:val="4"/>
  </w:num>
  <w:num w:numId="26" w16cid:durableId="252132749">
    <w:abstractNumId w:val="8"/>
  </w:num>
  <w:num w:numId="27" w16cid:durableId="1339429633">
    <w:abstractNumId w:val="3"/>
  </w:num>
  <w:num w:numId="28" w16cid:durableId="2123450754">
    <w:abstractNumId w:val="2"/>
  </w:num>
  <w:num w:numId="29" w16cid:durableId="1884830010">
    <w:abstractNumId w:val="1"/>
  </w:num>
  <w:num w:numId="30" w16cid:durableId="1259604611">
    <w:abstractNumId w:val="0"/>
  </w:num>
  <w:num w:numId="31" w16cid:durableId="352615614">
    <w:abstractNumId w:val="9"/>
  </w:num>
  <w:num w:numId="32" w16cid:durableId="111361910">
    <w:abstractNumId w:val="7"/>
  </w:num>
  <w:num w:numId="33" w16cid:durableId="1464158116">
    <w:abstractNumId w:val="6"/>
  </w:num>
  <w:num w:numId="34" w16cid:durableId="753664894">
    <w:abstractNumId w:val="5"/>
  </w:num>
  <w:num w:numId="35" w16cid:durableId="2033846991">
    <w:abstractNumId w:val="4"/>
  </w:num>
  <w:num w:numId="36" w16cid:durableId="289015078">
    <w:abstractNumId w:val="8"/>
  </w:num>
  <w:num w:numId="37" w16cid:durableId="1878274899">
    <w:abstractNumId w:val="3"/>
  </w:num>
  <w:num w:numId="38" w16cid:durableId="1293246375">
    <w:abstractNumId w:val="2"/>
  </w:num>
  <w:num w:numId="39" w16cid:durableId="1723095687">
    <w:abstractNumId w:val="1"/>
  </w:num>
  <w:num w:numId="40" w16cid:durableId="601913430">
    <w:abstractNumId w:val="0"/>
  </w:num>
  <w:num w:numId="41" w16cid:durableId="722296804">
    <w:abstractNumId w:val="10"/>
  </w:num>
  <w:num w:numId="42" w16cid:durableId="1480800788">
    <w:abstractNumId w:val="10"/>
  </w:num>
  <w:num w:numId="43" w16cid:durableId="1997415750">
    <w:abstractNumId w:val="10"/>
  </w:num>
  <w:num w:numId="44" w16cid:durableId="17440661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BD"/>
    <w:rsid w:val="00002272"/>
    <w:rsid w:val="00064002"/>
    <w:rsid w:val="000677B9"/>
    <w:rsid w:val="000831BA"/>
    <w:rsid w:val="000A42CC"/>
    <w:rsid w:val="000E7DD9"/>
    <w:rsid w:val="0010095E"/>
    <w:rsid w:val="00125B37"/>
    <w:rsid w:val="00187494"/>
    <w:rsid w:val="001F32AE"/>
    <w:rsid w:val="002767FF"/>
    <w:rsid w:val="002B18FE"/>
    <w:rsid w:val="002B5493"/>
    <w:rsid w:val="002B70B0"/>
    <w:rsid w:val="00343214"/>
    <w:rsid w:val="00361C00"/>
    <w:rsid w:val="00395FA1"/>
    <w:rsid w:val="003E15D4"/>
    <w:rsid w:val="00411CCE"/>
    <w:rsid w:val="0041666E"/>
    <w:rsid w:val="00421060"/>
    <w:rsid w:val="00423FC9"/>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47DBD"/>
    <w:rsid w:val="00751A4A"/>
    <w:rsid w:val="00756632"/>
    <w:rsid w:val="00762C74"/>
    <w:rsid w:val="00786EC0"/>
    <w:rsid w:val="007D08B4"/>
    <w:rsid w:val="007D1690"/>
    <w:rsid w:val="007E22AD"/>
    <w:rsid w:val="00813BF4"/>
    <w:rsid w:val="00817416"/>
    <w:rsid w:val="00842779"/>
    <w:rsid w:val="00865F67"/>
    <w:rsid w:val="00881A7B"/>
    <w:rsid w:val="008840E5"/>
    <w:rsid w:val="00887B3E"/>
    <w:rsid w:val="008C2AC6"/>
    <w:rsid w:val="00930C23"/>
    <w:rsid w:val="0093193B"/>
    <w:rsid w:val="009509D8"/>
    <w:rsid w:val="00950B64"/>
    <w:rsid w:val="00981893"/>
    <w:rsid w:val="009A493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4438"/>
    <w:rsid w:val="00E365E1"/>
    <w:rsid w:val="00E820A4"/>
    <w:rsid w:val="00EA656C"/>
    <w:rsid w:val="00EB006A"/>
    <w:rsid w:val="00EB4772"/>
    <w:rsid w:val="00ED169E"/>
    <w:rsid w:val="00ED4235"/>
    <w:rsid w:val="00F04346"/>
    <w:rsid w:val="00F075DC"/>
    <w:rsid w:val="00F149E9"/>
    <w:rsid w:val="00F5134D"/>
    <w:rsid w:val="00F74202"/>
    <w:rsid w:val="00F87713"/>
    <w:rsid w:val="00FB4360"/>
    <w:rsid w:val="00FD0C70"/>
  </w:rsids>
  <w:docVars>
    <w:docVar w:name="dvdocse" w:val="B10-0273/2026"/>
    <w:docVar w:name="dvlangue" w:val="EL"/>
    <w:docVar w:name="dvnumam" w:val="0"/>
    <w:docVar w:name="dvpe" w:val="789.144"/>
    <w:docVar w:name="dvtitre" w:val="Ψήφισμα του Ευρωπαϊκού Κοινοβουλίου της ... 2026 σχετικά με το σχέδιο εκτελεστικής απόφασης της Επιτροπής για τη χρηματοδότηση του ετήσιου σχεδίου δράσης υπέρ της Ενωμένης Δημοκρατίας της Τανζανίας για το 2026 (D115284/01 – 2026/2749(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01EF2B4"/>
  <w15:chartTrackingRefBased/>
  <w15:docId w15:val="{160C7BEF-9EA9-462B-8749-76C3DF712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23FC9"/>
    <w:pPr>
      <w:spacing w:before="480" w:after="240"/>
    </w:pPr>
  </w:style>
  <w:style w:type="paragraph" w:customStyle="1" w:styleId="NormalHanging12a">
    <w:name w:val="NormalHanging12a"/>
    <w:basedOn w:val="Normal"/>
    <w:rsid w:val="00423FC9"/>
    <w:pPr>
      <w:spacing w:after="240"/>
      <w:ind w:left="567" w:hanging="567"/>
    </w:pPr>
  </w:style>
  <w:style w:type="paragraph" w:customStyle="1" w:styleId="NormalBold">
    <w:name w:val="NormalBold"/>
    <w:basedOn w:val="Normal"/>
    <w:rsid w:val="00423FC9"/>
    <w:rPr>
      <w:b/>
    </w:rPr>
  </w:style>
  <w:style w:type="character" w:styleId="Hyperlink">
    <w:name w:val="Hyperlink"/>
    <w:basedOn w:val="DefaultParagraphFont"/>
    <w:rsid w:val="00423FC9"/>
    <w:rPr>
      <w:color w:val="0563C1" w:themeColor="hyperlink"/>
      <w:u w:val="single"/>
    </w:rPr>
  </w:style>
  <w:style w:type="paragraph" w:styleId="Revision">
    <w:name w:val="Revision"/>
    <w:hidden/>
    <w:uiPriority w:val="99"/>
    <w:semiHidden/>
    <w:rsid w:val="00DF4438"/>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947/oj" TargetMode="External" /><Relationship Id="rId2" Type="http://schemas.openxmlformats.org/officeDocument/2006/relationships/hyperlink" Target="http://data.europa.eu/eli/reg/2011/18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913</Words>
  <Characters>5571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2026-06-18T11:04:00Z</dcterms:created>
  <dcterms:modified xsi:type="dcterms:W3CDTF">2026-06-18T11:04:00Z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B10-0273/2026</vt:lpwstr>
  </property>
  <property fmtid="{D5CDD505-2E9C-101B-9397-08002B2CF9AE}" pid="4" name="&lt;Type&gt;">
    <vt:lpwstr>RR</vt:lpwstr>
  </property>
</Properties>
</file>