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F54026" w14:textId="77777777" w:rsidTr="0010095E">
        <w:tblPrEx>
          <w:tblW w:w="9072" w:type="dxa"/>
          <w:tblLook w:val="01E0"/>
        </w:tblPrEx>
        <w:trPr>
          <w:trHeight w:hRule="exact" w:val="1418"/>
        </w:trPr>
        <w:tc>
          <w:tcPr>
            <w:tcW w:w="6804" w:type="dxa"/>
            <w:shd w:val="clear" w:color="auto" w:fill="auto"/>
            <w:vAlign w:val="center"/>
          </w:tcPr>
          <w:p w:rsidR="00751A4A" w:rsidRPr="009D2A61" w:rsidP="00AD5D4E" w14:paraId="52524898" w14:textId="77777777">
            <w:pPr>
              <w:pStyle w:val="EPName"/>
              <w:widowControl/>
            </w:pPr>
            <w:r w:rsidRPr="009D2A61">
              <w:t>Euroopan parlamentti</w:t>
            </w:r>
          </w:p>
          <w:p w:rsidR="00751A4A" w:rsidRPr="009D2A61" w:rsidP="00AD5D4E" w14:paraId="39B7C6A9" w14:textId="77777777">
            <w:pPr>
              <w:pStyle w:val="EPTerm"/>
              <w:widowControl/>
              <w:rPr>
                <w:rStyle w:val="HideTWBExt"/>
                <w:noProof w:val="0"/>
                <w:vanish w:val="0"/>
                <w:color w:val="auto"/>
              </w:rPr>
            </w:pPr>
            <w:r w:rsidRPr="009D2A61">
              <w:t>2024</w:t>
            </w:r>
            <w:r w:rsidRPr="009D2A61" w:rsidR="00817416">
              <w:t>-202</w:t>
            </w:r>
            <w:r w:rsidRPr="009D2A61">
              <w:t>9</w:t>
            </w:r>
          </w:p>
        </w:tc>
        <w:tc>
          <w:tcPr>
            <w:tcW w:w="2268" w:type="dxa"/>
            <w:shd w:val="clear" w:color="auto" w:fill="auto"/>
          </w:tcPr>
          <w:p w:rsidR="00751A4A" w:rsidRPr="009D2A61" w:rsidP="00AD5D4E" w14:paraId="5A4D1A42" w14:textId="77777777">
            <w:pPr>
              <w:pStyle w:val="EPLogo"/>
              <w:widowControl/>
            </w:pPr>
            <w:r w:rsidRPr="009D2A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2A61" w:rsidP="00AD5D4E" w14:paraId="0DAADA68" w14:textId="77777777">
      <w:pPr>
        <w:pStyle w:val="LineTop"/>
        <w:widowControl/>
      </w:pPr>
    </w:p>
    <w:p w:rsidR="00680577" w:rsidRPr="009D2A61" w:rsidP="00AD5D4E" w14:paraId="6E899122" w14:textId="77777777">
      <w:pPr>
        <w:pStyle w:val="EPBodyTA1"/>
        <w:widowControl/>
      </w:pPr>
      <w:r w:rsidRPr="009D2A61">
        <w:t>HYVÄKSYTYT TEKSTIT</w:t>
      </w:r>
    </w:p>
    <w:p w:rsidR="00D058B8" w:rsidRPr="009D2A61" w:rsidP="00AD5D4E" w14:paraId="2E91BEE3" w14:textId="77777777">
      <w:pPr>
        <w:pStyle w:val="LineBottom"/>
        <w:widowControl/>
      </w:pPr>
    </w:p>
    <w:p w:rsidR="00F65FC8" w:rsidRPr="009D2A61" w:rsidP="00AD5D4E" w14:paraId="2854D5EB" w14:textId="4356E414">
      <w:pPr>
        <w:pStyle w:val="ATHeading1"/>
      </w:pPr>
      <w:bookmarkStart w:id="0" w:name="TANumber"/>
      <w:r w:rsidRPr="009D2A61">
        <w:t>P10_TA(2026)0</w:t>
      </w:r>
      <w:r w:rsidRPr="009D2A61" w:rsidR="00A83A93">
        <w:t>232</w:t>
      </w:r>
      <w:bookmarkEnd w:id="0"/>
    </w:p>
    <w:p w:rsidR="00F65FC8" w:rsidRPr="009D2A61" w:rsidP="00AD5D4E" w14:paraId="546BF91C" w14:textId="508809B7">
      <w:pPr>
        <w:pStyle w:val="ATHeading2"/>
      </w:pPr>
      <w:bookmarkStart w:id="1" w:name="title"/>
      <w:r w:rsidRPr="009D2A61">
        <w:t>Tansanian yhdistyneen tasavallan</w:t>
      </w:r>
      <w:r w:rsidRPr="009D2A61" w:rsidR="00AD5D4E">
        <w:t xml:space="preserve"> </w:t>
      </w:r>
      <w:r w:rsidRPr="009D2A61">
        <w:t>hyväksi toteutettavan vuotuisen toimintasuunnitelman rahoittaminen vuonna 2026</w:t>
      </w:r>
      <w:bookmarkEnd w:id="1"/>
    </w:p>
    <w:p w:rsidR="00F65FC8" w:rsidRPr="009D2A61" w:rsidP="00AD5D4E" w14:paraId="4D407A31" w14:textId="77777777">
      <w:pPr>
        <w:widowControl/>
        <w:rPr>
          <w:i/>
          <w:vanish/>
        </w:rPr>
      </w:pPr>
      <w:r>
        <w:rPr>
          <w:i/>
        </w:rPr>
        <w:fldChar w:fldCharType="begin"/>
      </w:r>
      <w:r w:rsidRPr="009D2A61">
        <w:rPr>
          <w:i/>
        </w:rPr>
        <w:instrText xml:space="preserve"> TC"(</w:instrText>
      </w:r>
      <w:bookmarkStart w:id="2" w:name="DocNumber"/>
      <w:r w:rsidRPr="009D2A61">
        <w:rPr>
          <w:i/>
        </w:rPr>
        <w:instrText>B10-0273/2026</w:instrText>
      </w:r>
      <w:bookmarkEnd w:id="2"/>
      <w:r w:rsidRPr="009D2A61">
        <w:rPr>
          <w:i/>
        </w:rPr>
        <w:instrText xml:space="preserve">)"\l3 \n&gt; \* MERGEFORMAT </w:instrText>
      </w:r>
      <w:r>
        <w:rPr>
          <w:i/>
        </w:rPr>
        <w:fldChar w:fldCharType="end"/>
      </w:r>
    </w:p>
    <w:p w:rsidR="00F65FC8" w:rsidRPr="009D2A61" w:rsidP="00AD5D4E" w14:paraId="3D9C8D88" w14:textId="77777777">
      <w:pPr>
        <w:widowControl/>
        <w:rPr>
          <w:vanish/>
        </w:rPr>
      </w:pPr>
      <w:bookmarkStart w:id="3" w:name="PE"/>
      <w:r w:rsidRPr="009D2A61">
        <w:rPr>
          <w:vanish/>
        </w:rPr>
        <w:t>PE789.144</w:t>
      </w:r>
      <w:bookmarkEnd w:id="3"/>
    </w:p>
    <w:p w:rsidR="00F65FC8" w:rsidRPr="009D2A61" w:rsidP="00AD5D4E" w14:paraId="39EE6B2E" w14:textId="00672CF1">
      <w:pPr>
        <w:pStyle w:val="ATHeading3"/>
      </w:pPr>
      <w:bookmarkStart w:id="4" w:name="Sujet"/>
      <w:r w:rsidRPr="009D2A61">
        <w:t xml:space="preserve">Euroopan parlamentin päätöslauselma </w:t>
      </w:r>
      <w:r w:rsidRPr="009D2A61" w:rsidR="00906DB4">
        <w:t>18</w:t>
      </w:r>
      <w:r w:rsidRPr="009D2A61">
        <w:t>. kesäkuuta 2026 ehdotuksesta komission täytäntöönpanopäätökseksi Tansanian yhdistyneen tasavallan hyväksi toteutettavan toimintasuunnitelman rahoittamisesta vuonna 2026</w:t>
      </w:r>
      <w:bookmarkEnd w:id="4"/>
      <w:r w:rsidRPr="009D2A61">
        <w:t xml:space="preserve"> </w:t>
      </w:r>
      <w:bookmarkStart w:id="5" w:name="References"/>
      <w:r w:rsidRPr="009D2A61">
        <w:t>(D115284/01 – 2026/2749(RSP))</w:t>
      </w:r>
      <w:bookmarkEnd w:id="5"/>
    </w:p>
    <w:p w:rsidR="00812095" w:rsidRPr="009D2A61" w:rsidP="00AD5D4E" w14:paraId="36C2F622" w14:textId="77777777">
      <w:pPr>
        <w:pStyle w:val="EPComma"/>
        <w:widowControl/>
      </w:pPr>
      <w:bookmarkStart w:id="6" w:name="TextBodyBegin"/>
      <w:bookmarkEnd w:id="6"/>
      <w:r w:rsidRPr="009D2A61">
        <w:rPr>
          <w:i/>
          <w:iCs/>
        </w:rPr>
        <w:t>Euroopan parlamentti</w:t>
      </w:r>
      <w:r w:rsidRPr="009D2A61">
        <w:t>, joka</w:t>
      </w:r>
    </w:p>
    <w:p w:rsidR="00812095" w:rsidRPr="009D2A61" w:rsidP="00AD5D4E" w14:paraId="70693C1B" w14:textId="77777777">
      <w:pPr>
        <w:pStyle w:val="NormalHanging12a"/>
        <w:widowControl/>
      </w:pPr>
      <w:r w:rsidRPr="009D2A61">
        <w:t>–</w:t>
      </w:r>
      <w:r w:rsidRPr="009D2A61">
        <w:tab/>
        <w:t>ottaa huomioon ehdotuksen komission täytäntöönpanopäätökseksi Tansanian yhdistyneen tasavallan hyväksi toteutettavan toimintasuunnitelman rahoittamisesta vuonna 2026 (D115284/01),</w:t>
      </w:r>
    </w:p>
    <w:p w:rsidR="00812095" w:rsidRPr="009D2A61" w:rsidP="00AD5D4E" w14:paraId="1033DC23" w14:textId="77777777">
      <w:pPr>
        <w:pStyle w:val="NormalHanging12a"/>
        <w:widowControl/>
      </w:pPr>
      <w:r w:rsidRPr="009D2A61">
        <w:t>–</w:t>
      </w:r>
      <w:r w:rsidRPr="009D2A61">
        <w:tab/>
        <w:t>ottaa huomioon naapuruus-, kehitys- ja kansainvälisen yhteistyön välineen – Globaali Eurooppa perustamisesta, päätöksen N:o 466/2014/EU muuttamisesta ja kumoamisesta sekä asetuksen (EU) 2017/1601 ja neuvoston asetuksen (EY, Euratom) N:o 480/2009 kumoamisesta 9. kesäkuuta 2021 annetun Euroopan parlamentin ja neuvoston asetuksen (EU) 2021/947</w:t>
      </w:r>
      <w:r>
        <w:rPr>
          <w:vertAlign w:val="superscript"/>
        </w:rPr>
        <w:footnoteReference w:id="2"/>
      </w:r>
      <w:r w:rsidRPr="009D2A61">
        <w:t xml:space="preserve"> (NDICI – Globaali Eurooppa -asetus) ja erityisesti sen 25 artiklan,</w:t>
      </w:r>
    </w:p>
    <w:p w:rsidR="00812095" w:rsidRPr="009D2A61" w:rsidP="00AD5D4E" w14:paraId="3090D5CD" w14:textId="77777777">
      <w:pPr>
        <w:pStyle w:val="NormalHanging12a"/>
        <w:widowControl/>
      </w:pPr>
      <w:r w:rsidRPr="009D2A61">
        <w:t>–</w:t>
      </w:r>
      <w:r w:rsidRPr="009D2A61">
        <w:tab/>
        <w:t>ottaa huomioon asetuksen (EU) 2021/947 45 artiklassa tarkoitetun komitean 20. toukokuuta 2026 antaman lausunnon,</w:t>
      </w:r>
    </w:p>
    <w:p w:rsidR="00812095" w:rsidRPr="009D2A61" w:rsidP="00AD5D4E" w14:paraId="3F66DDF5" w14:textId="77777777">
      <w:pPr>
        <w:pStyle w:val="NormalHanging12a"/>
        <w:widowControl/>
      </w:pPr>
      <w:r w:rsidRPr="009D2A61">
        <w:t>–</w:t>
      </w:r>
      <w:r w:rsidRPr="009D2A61">
        <w:tab/>
        <w:t>ottaa huomioon yleisistä säännöistä ja periaatteista, joiden mukaisesti jäsenvaltiot valvovat komission täytäntöönpanovallan käyttöä, 16. helmikuuta 2011 annetun Euroopan parlamentin ja neuvoston asetuksen (EU) N:o 182/2011</w:t>
      </w:r>
      <w:r>
        <w:rPr>
          <w:vertAlign w:val="superscript"/>
        </w:rPr>
        <w:footnoteReference w:id="3"/>
      </w:r>
      <w:r w:rsidRPr="009D2A61">
        <w:t xml:space="preserve"> 11 artiklan,</w:t>
      </w:r>
    </w:p>
    <w:p w:rsidR="00812095" w:rsidRPr="009D2A61" w:rsidP="00AD5D4E" w14:paraId="685DDA97" w14:textId="77777777">
      <w:pPr>
        <w:pStyle w:val="NormalHanging12a"/>
        <w:widowControl/>
      </w:pPr>
      <w:r w:rsidRPr="009D2A61">
        <w:t>–</w:t>
      </w:r>
      <w:r w:rsidRPr="009D2A61">
        <w:tab/>
        <w:t>ottaa huomioon 27. marraskuuta 2025 annetun Euroopan parlamentin päätöslauselman ehdotuksesta komission täytäntöönpanopäätökseksi Tansanian yhdistyneen tasavallan hyväksi toteutettavan toimintasuunnitelman rahoittamisesta vuonna 2025</w:t>
      </w:r>
      <w:r>
        <w:rPr>
          <w:vertAlign w:val="superscript"/>
        </w:rPr>
        <w:footnoteReference w:id="4"/>
      </w:r>
      <w:r w:rsidRPr="009D2A61">
        <w:t>,</w:t>
      </w:r>
    </w:p>
    <w:p w:rsidR="00812095" w:rsidRPr="009D2A61" w:rsidP="00AD5D4E" w14:paraId="7397C3D8" w14:textId="77777777">
      <w:pPr>
        <w:pStyle w:val="NormalHanging12a"/>
        <w:widowControl/>
      </w:pPr>
      <w:r w:rsidRPr="009D2A61">
        <w:t>–</w:t>
      </w:r>
      <w:r w:rsidRPr="009D2A61">
        <w:tab/>
        <w:t xml:space="preserve">ottaa huomioon 27. marraskuuta 2025 annetun Euroopan parlamentin päätöslauselman vaalien jälkeisistä surmista ja heikkenevästä ihmisoikeustilanteesta Tansaniassa sekä vangitun oppositiojohtajan </w:t>
      </w:r>
      <w:r w:rsidRPr="009D2A61">
        <w:t>Tundu</w:t>
      </w:r>
      <w:r w:rsidRPr="009D2A61">
        <w:t xml:space="preserve"> Lissun tapauksesta,</w:t>
      </w:r>
    </w:p>
    <w:p w:rsidR="00812095" w:rsidRPr="009D2A61" w:rsidP="00AD5D4E" w14:paraId="20413260" w14:textId="77777777">
      <w:pPr>
        <w:pStyle w:val="NormalHanging12a"/>
        <w:widowControl/>
      </w:pPr>
      <w:r w:rsidRPr="009D2A61">
        <w:t>–</w:t>
      </w:r>
      <w:r w:rsidRPr="009D2A61">
        <w:tab/>
        <w:t xml:space="preserve">ottaa huomioon 8. toukokuuta 2025 antamansa päätöslauselman Tansanian suurimman oppositiopuolueen </w:t>
      </w:r>
      <w:r w:rsidRPr="009D2A61">
        <w:t>Chademan</w:t>
      </w:r>
      <w:r w:rsidRPr="009D2A61">
        <w:t xml:space="preserve"> puheenjohtajan </w:t>
      </w:r>
      <w:r w:rsidRPr="009D2A61">
        <w:t>Tundu</w:t>
      </w:r>
      <w:r w:rsidRPr="009D2A61">
        <w:t xml:space="preserve"> Lissun pidätyksestä ja vaarasta joutua teloitetuksi,</w:t>
      </w:r>
    </w:p>
    <w:p w:rsidR="00812095" w:rsidRPr="009D2A61" w:rsidP="00AD5D4E" w14:paraId="00365EED" w14:textId="77777777">
      <w:pPr>
        <w:pStyle w:val="NormalHanging12a"/>
        <w:widowControl/>
      </w:pPr>
      <w:r w:rsidRPr="009D2A61">
        <w:t>–</w:t>
      </w:r>
      <w:r w:rsidRPr="009D2A61">
        <w:tab/>
        <w:t>ottaa huomioon työjärjestyksen 115 artiklan 2 ja 3 kohdan,</w:t>
      </w:r>
    </w:p>
    <w:p w:rsidR="00812095" w:rsidRPr="009D2A61" w:rsidP="00AD5D4E" w14:paraId="40E4599A" w14:textId="77777777">
      <w:pPr>
        <w:pStyle w:val="NormalHanging12a"/>
        <w:widowControl/>
      </w:pPr>
      <w:r w:rsidRPr="009D2A61">
        <w:t>–</w:t>
      </w:r>
      <w:r w:rsidRPr="009D2A61">
        <w:tab/>
        <w:t>ottaa huomioon ulkoasiainvaliokunnan ja kehitysvaliokunnan työjärjestyksen 59 artiklan mukaisen yhteiskäsittelyn,</w:t>
      </w:r>
    </w:p>
    <w:p w:rsidR="00812095" w:rsidRPr="009D2A61" w:rsidP="00AD5D4E" w14:paraId="134E48EF" w14:textId="77777777">
      <w:pPr>
        <w:pStyle w:val="NormalHanging12a"/>
        <w:widowControl/>
      </w:pPr>
      <w:r w:rsidRPr="009D2A61">
        <w:t>–</w:t>
      </w:r>
      <w:r w:rsidRPr="009D2A61">
        <w:tab/>
        <w:t>ottaa huomioon ulkoasiainvaliokunnan ja kehitysvaliokunnan päätöslauselmaesityksen,</w:t>
      </w:r>
    </w:p>
    <w:p w:rsidR="00812095" w:rsidRPr="009D2A61" w:rsidP="00AD5D4E" w14:paraId="3D50AE79" w14:textId="77777777">
      <w:pPr>
        <w:pStyle w:val="NormalHanging12a"/>
        <w:widowControl/>
      </w:pPr>
      <w:r w:rsidRPr="009D2A61">
        <w:t>A.</w:t>
      </w:r>
      <w:r w:rsidRPr="009D2A61">
        <w:tab/>
        <w:t>ottaa huomioon, että komissio keskeytti marraskuussa 2025 ehdotusta komission täytäntöönpanopäätökseksi Tansanian yhdistyneen tasavallan hyväksi toteutettavan toimintasuunnitelman rahoittamisesta vuonna 2026 koskevan hyväksymisprosessin Euroopan parlamentin ilmaistua asiaan liittyviä huolenaiheita;</w:t>
      </w:r>
    </w:p>
    <w:p w:rsidR="00812095" w:rsidRPr="009D2A61" w:rsidP="00AD5D4E" w14:paraId="5B4233E5" w14:textId="77777777">
      <w:pPr>
        <w:pStyle w:val="NormalHanging12a"/>
        <w:widowControl/>
      </w:pPr>
      <w:r w:rsidRPr="009D2A61">
        <w:t>B.</w:t>
      </w:r>
      <w:r w:rsidRPr="009D2A61">
        <w:tab/>
        <w:t>ottaa huomioon, että tarkistettu ehdotus komission täytäntöönpanopäätökseksi esiteltiin naapuruus-, kehitys- ja kansainvälisen yhteistyön välineen komitealle 20. toukokuuta 2026;</w:t>
      </w:r>
    </w:p>
    <w:p w:rsidR="00812095" w:rsidRPr="009D2A61" w:rsidP="00AD5D4E" w14:paraId="15CDAD2A" w14:textId="77777777">
      <w:pPr>
        <w:pStyle w:val="NormalHanging12a"/>
        <w:widowControl/>
      </w:pPr>
      <w:r w:rsidRPr="009D2A61">
        <w:t>C.</w:t>
      </w:r>
      <w:r w:rsidRPr="009D2A61">
        <w:tab/>
        <w:t>ottaa huomioon, että tarkistetussa ehdotuksessa komission täytäntöönpanopäätökseksi on sama kokonaismäärä ja likipitäen samat toimet kuin edellisessä päätösluonnoksessa, mutta siinä ehdotetaan, että täytäntöönpano olisi toteutettava pääasiassa välillisen hallinnoinnin kautta Tansanian viranomaisille annettavan suoran budjettituen sijaan;</w:t>
      </w:r>
    </w:p>
    <w:p w:rsidR="00812095" w:rsidRPr="009D2A61" w:rsidP="00AD5D4E" w14:paraId="0E78D6FD" w14:textId="77777777">
      <w:pPr>
        <w:pStyle w:val="NormalHanging12a"/>
        <w:widowControl/>
      </w:pPr>
      <w:r w:rsidRPr="009D2A61">
        <w:t>D.</w:t>
      </w:r>
      <w:r w:rsidRPr="009D2A61">
        <w:tab/>
        <w:t xml:space="preserve">ottaa huomioon, että Tansanian kansallinen tutkintalautakunta, joka tutkii 29. lokakuuta 2025 pidettyihin vaaleihin liittyvää väkivaltaa, myönsi 23. huhtikuuta 2026, että ainakin 518 ihmistä oli kuollut, mutta ei onnistunut tunnistamaan syyllisiä ja hankaloitti siten vastuuseen saattamista ja oikeuden toteutumista uhreille eikä julkistanut tutkimuksensa tuloksia; </w:t>
      </w:r>
    </w:p>
    <w:p w:rsidR="00812095" w:rsidRPr="009D2A61" w:rsidP="00AD5D4E" w14:paraId="4CDC5A43" w14:textId="77777777">
      <w:pPr>
        <w:pStyle w:val="NormalHanging12a"/>
        <w:widowControl/>
      </w:pPr>
      <w:r w:rsidRPr="009D2A61">
        <w:t>E.</w:t>
      </w:r>
      <w:r w:rsidRPr="009D2A61">
        <w:tab/>
        <w:t>ottaa huomioon, että Tansanian viranomaiset kieltäytyivät Euroopan parlamentin ihmisoikeuksien alivaliokunnan valtuuskunnan vierailusta toukokuussa 2026;</w:t>
      </w:r>
    </w:p>
    <w:p w:rsidR="00812095" w:rsidRPr="009D2A61" w:rsidP="00AD5D4E" w14:paraId="3C7F9894" w14:textId="77777777">
      <w:pPr>
        <w:pStyle w:val="NormalHanging12a"/>
        <w:widowControl/>
      </w:pPr>
      <w:r w:rsidRPr="009D2A61">
        <w:t>F.</w:t>
      </w:r>
      <w:r w:rsidRPr="009D2A61">
        <w:tab/>
        <w:t xml:space="preserve">ottaa huomioon, että Tansanian pääoppositiopuolueen </w:t>
      </w:r>
      <w:r w:rsidRPr="009D2A61">
        <w:t>Chademan</w:t>
      </w:r>
      <w:r w:rsidRPr="009D2A61">
        <w:t xml:space="preserve"> johtaja </w:t>
      </w:r>
      <w:r w:rsidRPr="009D2A61">
        <w:t>Tundu</w:t>
      </w:r>
      <w:r w:rsidRPr="009D2A61">
        <w:t xml:space="preserve"> Lissu on ollut vangittuna yli vuoden ajan ja että häntä vastaan on nostettu poliittisin perustein syytteitä, joilla on merkittäviä oikeudellisia seurauksia, kuten kuolemantuomio;</w:t>
      </w:r>
    </w:p>
    <w:p w:rsidR="00812095" w:rsidRPr="009D2A61" w:rsidP="00AD5D4E" w14:paraId="060D3040" w14:textId="77777777">
      <w:pPr>
        <w:pStyle w:val="NormalHanging12a"/>
        <w:widowControl/>
      </w:pPr>
      <w:r w:rsidRPr="009D2A61">
        <w:t>G.</w:t>
      </w:r>
      <w:r w:rsidRPr="009D2A61">
        <w:tab/>
        <w:t>ottaa huomioon, että Tansanian hallitus ei ole täyttänyt vaatimuksia, jotka parlamentti esitti 8. toukokuuta ja 27. marraskuuta 2025 antamissaan päätöslauselmissa, joissa muun muassa kehotettiin vapauttamaan välittömästi ja ehdoitta opposition edustajat, parantamaan ihmisoikeustilannetta ja perustamaan riippumaton ja puolueeton kansainvälinen tutkintalautakunta vaalien jälkeisen väkivallan tutkimiseksi;</w:t>
      </w:r>
    </w:p>
    <w:p w:rsidR="00812095" w:rsidRPr="009D2A61" w:rsidP="00AD5D4E" w14:paraId="4300A97E" w14:textId="77777777">
      <w:pPr>
        <w:pStyle w:val="NormalHanging12a"/>
        <w:widowControl/>
      </w:pPr>
      <w:r w:rsidRPr="009D2A61">
        <w:t>H.</w:t>
      </w:r>
      <w:r w:rsidRPr="009D2A61">
        <w:tab/>
        <w:t>ottaa huomioon, että komissio ja Euroopan ulkosuhdehallinto eivät ole onnistuneet osoittamaan tehokkaasti puuttuneensa todellisiin huolenaiheisiin, jotka johtivat vastalauseeseen marraskuussa 2025;</w:t>
      </w:r>
    </w:p>
    <w:p w:rsidR="00812095" w:rsidRPr="009D2A61" w:rsidP="00AD5D4E" w14:paraId="0B7320FE" w14:textId="77777777">
      <w:pPr>
        <w:pStyle w:val="NormalHanging12a"/>
        <w:widowControl/>
      </w:pPr>
      <w:r w:rsidRPr="009D2A61">
        <w:t>1.</w:t>
      </w:r>
      <w:r w:rsidRPr="009D2A61">
        <w:tab/>
        <w:t>katsoo, että ehdotus komission täytäntöönpanopäätökseksi ylittää asetuksessa (EU) 2021/947 säädetyn täytäntöönpanovallan;</w:t>
      </w:r>
    </w:p>
    <w:p w:rsidR="00812095" w:rsidRPr="009D2A61" w:rsidP="00AD5D4E" w14:paraId="5AC5580F" w14:textId="77777777">
      <w:pPr>
        <w:pStyle w:val="NormalHanging12a"/>
        <w:widowControl/>
      </w:pPr>
      <w:r w:rsidRPr="009D2A61">
        <w:t>2.</w:t>
      </w:r>
      <w:r w:rsidRPr="009D2A61">
        <w:tab/>
        <w:t>katsoo, että ehdotus komission täytäntöönpanopäätökseksi ei ole unionin oikeuden mukainen, sillä se on asetuksen (EU) 2021/947 tarkoituksen vastainen;</w:t>
      </w:r>
    </w:p>
    <w:p w:rsidR="00812095" w:rsidRPr="009D2A61" w:rsidP="00AD5D4E" w14:paraId="5FD02298" w14:textId="77777777">
      <w:pPr>
        <w:pStyle w:val="NormalHanging12a"/>
        <w:widowControl/>
      </w:pPr>
      <w:r w:rsidRPr="009D2A61">
        <w:t>3.</w:t>
      </w:r>
      <w:r w:rsidRPr="009D2A61">
        <w:tab/>
        <w:t>katsoo, että ehdotuksessa komission täytäntöönpanopäätökseksi ei oteta riittävästi huomioon huolenaiheita, jotka Euroopan parlamentti ilmaisi 27. marraskuuta 2025 antamassaan päätöslauselmassa;</w:t>
      </w:r>
    </w:p>
    <w:p w:rsidR="00812095" w:rsidRPr="009D2A61" w:rsidP="00AD5D4E" w14:paraId="4ECC17AE" w14:textId="77777777">
      <w:pPr>
        <w:pStyle w:val="NormalHanging12a"/>
        <w:widowControl/>
      </w:pPr>
      <w:r w:rsidRPr="009D2A61">
        <w:t>4.</w:t>
      </w:r>
      <w:r w:rsidRPr="009D2A61">
        <w:tab/>
        <w:t>pitää valitettavana, ettei komissio tälläkään kertaa keskeyttänyt täytäntöönpanopäätöstä koskevan ehdotuksen hyväksymisprosessia saatuaan tiedon Euroopan parlamentin huolenaiheista; pitää erittäin valitettavana, että komissio ja EUH eivät ole ottaneet huomioon huolenaiheita, jotka Euroopan parlamentti on ilmaissut Tansaniaa koskevissa päätöslauselmissaan;</w:t>
      </w:r>
    </w:p>
    <w:p w:rsidR="00812095" w:rsidRPr="009D2A61" w:rsidP="00AD5D4E" w14:paraId="06B54EB9" w14:textId="77777777">
      <w:pPr>
        <w:pStyle w:val="NormalHanging12a"/>
        <w:widowControl/>
      </w:pPr>
      <w:r w:rsidRPr="009D2A61">
        <w:t>5.</w:t>
      </w:r>
      <w:r w:rsidRPr="009D2A61">
        <w:tab/>
        <w:t>kehottaa komissiota peruuttamaan ehdotuksen täytäntöönpanopäätökseksi ja toimittamaan valiokunnalle uuden ehdotuksen sekä varmistamaan, että uudet muutokset eivät vaikuta kielteisesti peruspalveluiden tarjoamiseen osallistavasti kansalle, ihmisoikeuksien ja demokratian suojeluun tai kansalaisyhteiskunnan järjestöille annettavaan tukeen;</w:t>
      </w:r>
    </w:p>
    <w:p w:rsidR="00E365E1" w:rsidRPr="009D2A61" w:rsidP="00AD5D4E" w14:paraId="7781D04B" w14:textId="2D0F2270">
      <w:pPr>
        <w:pStyle w:val="NormalHanging12a"/>
        <w:widowControl/>
      </w:pPr>
      <w:r w:rsidRPr="009D2A61">
        <w:t>6.</w:t>
      </w:r>
      <w:r w:rsidRPr="009D2A61">
        <w:tab/>
        <w:t>kehottaa puhemiestä välittämään tämän päätöslauselman neuvostolle ja komissiolle sekä jäsenvaltioiden hallituksille ja parlamenteille.</w:t>
      </w:r>
    </w:p>
    <w:sectPr w:rsidSect="006B751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5FC8" w:rsidRPr="006B7511" w14:paraId="7A3BE071" w14:textId="77777777">
      <w:r w:rsidRPr="006B7511">
        <w:separator/>
      </w:r>
    </w:p>
  </w:footnote>
  <w:footnote w:type="continuationSeparator" w:id="1">
    <w:p w:rsidR="00F65FC8" w:rsidRPr="006B7511" w14:paraId="32DC0D7C" w14:textId="77777777">
      <w:r w:rsidRPr="006B7511">
        <w:continuationSeparator/>
      </w:r>
    </w:p>
  </w:footnote>
  <w:footnote w:id="2">
    <w:p w:rsidR="00812095" w:rsidRPr="006B7511" w:rsidP="006B7511" w14:paraId="4989885A" w14:textId="7B20B0C9">
      <w:pPr>
        <w:pStyle w:val="FootnoteText"/>
        <w:ind w:left="567" w:hanging="567"/>
        <w:rPr>
          <w:sz w:val="24"/>
          <w:lang w:val="fi-FI"/>
        </w:rPr>
      </w:pPr>
      <w:r w:rsidRPr="006B7511">
        <w:rPr>
          <w:rStyle w:val="FootnoteReference"/>
          <w:sz w:val="24"/>
          <w:lang w:val="fi-FI"/>
        </w:rPr>
        <w:footnoteRef/>
      </w:r>
      <w:r w:rsidRPr="006B7511" w:rsidR="006B7511">
        <w:rPr>
          <w:sz w:val="24"/>
          <w:lang w:val="fi-FI"/>
        </w:rPr>
        <w:t xml:space="preserve"> </w:t>
      </w:r>
      <w:r w:rsidRPr="006B7511" w:rsidR="006B7511">
        <w:rPr>
          <w:sz w:val="24"/>
          <w:lang w:val="fi-FI"/>
        </w:rPr>
        <w:tab/>
      </w:r>
      <w:r w:rsidRPr="006B7511">
        <w:rPr>
          <w:sz w:val="24"/>
          <w:lang w:val="fi-FI"/>
        </w:rPr>
        <w:t xml:space="preserve">EUVL L 209, 14.6.2021, s. 1, ELI: </w:t>
      </w:r>
      <w:hyperlink r:id="rId1" w:tgtFrame="http://data.europa.eu/eli/reg/2021/947/oj" w:history="1">
        <w:r w:rsidRPr="006B7511">
          <w:rPr>
            <w:rStyle w:val="Hyperlink"/>
            <w:sz w:val="24"/>
            <w:lang w:val="fi-FI"/>
          </w:rPr>
          <w:t>http://data.europa.eu/eli/reg/2021/947/oj.</w:t>
        </w:r>
      </w:hyperlink>
    </w:p>
  </w:footnote>
  <w:footnote w:id="3">
    <w:p w:rsidR="00812095" w:rsidRPr="006B7511" w:rsidP="006B7511" w14:paraId="3C40AE0D" w14:textId="48FA6A94">
      <w:pPr>
        <w:pStyle w:val="FootnoteText"/>
        <w:ind w:left="567" w:hanging="567"/>
        <w:rPr>
          <w:sz w:val="24"/>
          <w:lang w:val="fi-FI"/>
        </w:rPr>
      </w:pPr>
      <w:r w:rsidRPr="006B7511">
        <w:rPr>
          <w:rStyle w:val="FootnoteReference"/>
          <w:sz w:val="24"/>
          <w:lang w:val="fi-FI"/>
        </w:rPr>
        <w:footnoteRef/>
      </w:r>
      <w:r w:rsidRPr="006B7511" w:rsidR="006B7511">
        <w:rPr>
          <w:sz w:val="24"/>
          <w:lang w:val="fi-FI"/>
        </w:rPr>
        <w:t xml:space="preserve"> </w:t>
      </w:r>
      <w:r w:rsidRPr="006B7511" w:rsidR="006B7511">
        <w:rPr>
          <w:sz w:val="24"/>
          <w:lang w:val="fi-FI"/>
        </w:rPr>
        <w:tab/>
      </w:r>
      <w:r w:rsidRPr="006B7511">
        <w:rPr>
          <w:sz w:val="24"/>
          <w:lang w:val="fi-FI"/>
        </w:rPr>
        <w:t xml:space="preserve">EUVL L 55, 28.2.2011, s. 13, ELI: </w:t>
      </w:r>
      <w:hyperlink r:id="rId2" w:tooltip="Avaa asiakirjan ELI URI -osoitteen kautta." w:history="1">
        <w:r w:rsidRPr="006B7511">
          <w:rPr>
            <w:rStyle w:val="Hyperlink"/>
            <w:sz w:val="24"/>
            <w:lang w:val="fi-FI"/>
          </w:rPr>
          <w:t>http://data.europa.eu/eli/reg/2011/182/oj</w:t>
        </w:r>
      </w:hyperlink>
      <w:r w:rsidRPr="006B7511">
        <w:rPr>
          <w:rStyle w:val="Hyperlink"/>
          <w:sz w:val="24"/>
          <w:lang w:val="fi-FI"/>
        </w:rPr>
        <w:t>.</w:t>
      </w:r>
    </w:p>
  </w:footnote>
  <w:footnote w:id="4">
    <w:p w:rsidR="00812095" w:rsidRPr="006B7511" w:rsidP="006B7511" w14:paraId="1861FBE5" w14:textId="1FE8AE15">
      <w:pPr>
        <w:pStyle w:val="FootnoteText"/>
        <w:ind w:left="567" w:hanging="567"/>
        <w:rPr>
          <w:sz w:val="24"/>
          <w:lang w:val="fi-FI"/>
        </w:rPr>
      </w:pPr>
      <w:r w:rsidRPr="006B7511">
        <w:rPr>
          <w:rStyle w:val="FootnoteReference"/>
          <w:sz w:val="24"/>
          <w:lang w:val="fi-FI"/>
        </w:rPr>
        <w:footnoteRef/>
      </w:r>
      <w:r w:rsidRPr="006B7511" w:rsidR="006B7511">
        <w:rPr>
          <w:sz w:val="24"/>
          <w:lang w:val="fi-FI"/>
        </w:rPr>
        <w:t xml:space="preserve"> </w:t>
      </w:r>
      <w:r w:rsidRPr="006B7511" w:rsidR="006B7511">
        <w:rPr>
          <w:sz w:val="24"/>
          <w:lang w:val="fi-FI"/>
        </w:rPr>
        <w:tab/>
      </w:r>
      <w:r w:rsidRPr="006B7511">
        <w:rPr>
          <w:sz w:val="24"/>
          <w:lang w:val="fi-FI"/>
        </w:rPr>
        <w:t>Hyväksytyt tekstit, P10_TA(2025)0314.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036492">
    <w:abstractNumId w:val="9"/>
  </w:num>
  <w:num w:numId="2" w16cid:durableId="2057469065">
    <w:abstractNumId w:val="9"/>
  </w:num>
  <w:num w:numId="3" w16cid:durableId="250162220">
    <w:abstractNumId w:val="7"/>
  </w:num>
  <w:num w:numId="4" w16cid:durableId="2081365274">
    <w:abstractNumId w:val="7"/>
  </w:num>
  <w:num w:numId="5" w16cid:durableId="663511647">
    <w:abstractNumId w:val="6"/>
  </w:num>
  <w:num w:numId="6" w16cid:durableId="2082866889">
    <w:abstractNumId w:val="6"/>
  </w:num>
  <w:num w:numId="7" w16cid:durableId="2044593164">
    <w:abstractNumId w:val="5"/>
  </w:num>
  <w:num w:numId="8" w16cid:durableId="448934423">
    <w:abstractNumId w:val="5"/>
  </w:num>
  <w:num w:numId="9" w16cid:durableId="112024329">
    <w:abstractNumId w:val="4"/>
  </w:num>
  <w:num w:numId="10" w16cid:durableId="196822099">
    <w:abstractNumId w:val="4"/>
  </w:num>
  <w:num w:numId="11" w16cid:durableId="61832657">
    <w:abstractNumId w:val="8"/>
  </w:num>
  <w:num w:numId="12" w16cid:durableId="774404496">
    <w:abstractNumId w:val="8"/>
  </w:num>
  <w:num w:numId="13" w16cid:durableId="2037611085">
    <w:abstractNumId w:val="3"/>
  </w:num>
  <w:num w:numId="14" w16cid:durableId="1470047376">
    <w:abstractNumId w:val="3"/>
  </w:num>
  <w:num w:numId="15" w16cid:durableId="908492338">
    <w:abstractNumId w:val="2"/>
  </w:num>
  <w:num w:numId="16" w16cid:durableId="1251112615">
    <w:abstractNumId w:val="2"/>
  </w:num>
  <w:num w:numId="17" w16cid:durableId="977340281">
    <w:abstractNumId w:val="1"/>
  </w:num>
  <w:num w:numId="18" w16cid:durableId="761537174">
    <w:abstractNumId w:val="1"/>
  </w:num>
  <w:num w:numId="19" w16cid:durableId="535045771">
    <w:abstractNumId w:val="0"/>
  </w:num>
  <w:num w:numId="20" w16cid:durableId="2145848109">
    <w:abstractNumId w:val="0"/>
  </w:num>
  <w:num w:numId="21" w16cid:durableId="1160845657">
    <w:abstractNumId w:val="9"/>
  </w:num>
  <w:num w:numId="22" w16cid:durableId="711810125">
    <w:abstractNumId w:val="7"/>
  </w:num>
  <w:num w:numId="23" w16cid:durableId="779108619">
    <w:abstractNumId w:val="6"/>
  </w:num>
  <w:num w:numId="24" w16cid:durableId="2042170345">
    <w:abstractNumId w:val="5"/>
  </w:num>
  <w:num w:numId="25" w16cid:durableId="1023674982">
    <w:abstractNumId w:val="4"/>
  </w:num>
  <w:num w:numId="26" w16cid:durableId="723870975">
    <w:abstractNumId w:val="8"/>
  </w:num>
  <w:num w:numId="27" w16cid:durableId="814760704">
    <w:abstractNumId w:val="3"/>
  </w:num>
  <w:num w:numId="28" w16cid:durableId="1722052295">
    <w:abstractNumId w:val="2"/>
  </w:num>
  <w:num w:numId="29" w16cid:durableId="1428816877">
    <w:abstractNumId w:val="1"/>
  </w:num>
  <w:num w:numId="30" w16cid:durableId="117798727">
    <w:abstractNumId w:val="0"/>
  </w:num>
  <w:num w:numId="31" w16cid:durableId="510485333">
    <w:abstractNumId w:val="9"/>
  </w:num>
  <w:num w:numId="32" w16cid:durableId="162933589">
    <w:abstractNumId w:val="7"/>
  </w:num>
  <w:num w:numId="33" w16cid:durableId="1067147891">
    <w:abstractNumId w:val="6"/>
  </w:num>
  <w:num w:numId="34" w16cid:durableId="416051716">
    <w:abstractNumId w:val="5"/>
  </w:num>
  <w:num w:numId="35" w16cid:durableId="1289429609">
    <w:abstractNumId w:val="4"/>
  </w:num>
  <w:num w:numId="36" w16cid:durableId="993724102">
    <w:abstractNumId w:val="8"/>
  </w:num>
  <w:num w:numId="37" w16cid:durableId="1108237821">
    <w:abstractNumId w:val="3"/>
  </w:num>
  <w:num w:numId="38" w16cid:durableId="403140748">
    <w:abstractNumId w:val="2"/>
  </w:num>
  <w:num w:numId="39" w16cid:durableId="1860773378">
    <w:abstractNumId w:val="1"/>
  </w:num>
  <w:num w:numId="40" w16cid:durableId="47922668">
    <w:abstractNumId w:val="0"/>
  </w:num>
  <w:num w:numId="41" w16cid:durableId="2118133907">
    <w:abstractNumId w:val="10"/>
  </w:num>
  <w:num w:numId="42" w16cid:durableId="1658218549">
    <w:abstractNumId w:val="10"/>
  </w:num>
  <w:num w:numId="43" w16cid:durableId="1627000779">
    <w:abstractNumId w:val="10"/>
  </w:num>
  <w:num w:numId="44" w16cid:durableId="12296118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FC8"/>
    <w:rsid w:val="00002272"/>
    <w:rsid w:val="00064002"/>
    <w:rsid w:val="000677B9"/>
    <w:rsid w:val="000831BA"/>
    <w:rsid w:val="000A42CC"/>
    <w:rsid w:val="000E7DD9"/>
    <w:rsid w:val="0010095E"/>
    <w:rsid w:val="00125B37"/>
    <w:rsid w:val="00187494"/>
    <w:rsid w:val="001B4303"/>
    <w:rsid w:val="001F32AE"/>
    <w:rsid w:val="002767FF"/>
    <w:rsid w:val="002A47A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511"/>
    <w:rsid w:val="006F74FA"/>
    <w:rsid w:val="00731ADD"/>
    <w:rsid w:val="00734777"/>
    <w:rsid w:val="00747932"/>
    <w:rsid w:val="00751A4A"/>
    <w:rsid w:val="00756632"/>
    <w:rsid w:val="00762C74"/>
    <w:rsid w:val="00786EC0"/>
    <w:rsid w:val="007D1690"/>
    <w:rsid w:val="007E22AD"/>
    <w:rsid w:val="00812095"/>
    <w:rsid w:val="00817416"/>
    <w:rsid w:val="00842779"/>
    <w:rsid w:val="00865F67"/>
    <w:rsid w:val="00881A7B"/>
    <w:rsid w:val="008840E5"/>
    <w:rsid w:val="00887B3E"/>
    <w:rsid w:val="008C2AC6"/>
    <w:rsid w:val="00906DB4"/>
    <w:rsid w:val="00930C23"/>
    <w:rsid w:val="0093193B"/>
    <w:rsid w:val="009509D8"/>
    <w:rsid w:val="00950B64"/>
    <w:rsid w:val="00981893"/>
    <w:rsid w:val="009D2A61"/>
    <w:rsid w:val="00A1687D"/>
    <w:rsid w:val="00A26E54"/>
    <w:rsid w:val="00A43E52"/>
    <w:rsid w:val="00A4678D"/>
    <w:rsid w:val="00A778C7"/>
    <w:rsid w:val="00A83A93"/>
    <w:rsid w:val="00AB441E"/>
    <w:rsid w:val="00AB6293"/>
    <w:rsid w:val="00AD5D4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2D3"/>
    <w:rsid w:val="00E365E1"/>
    <w:rsid w:val="00E820A4"/>
    <w:rsid w:val="00EB006A"/>
    <w:rsid w:val="00EB4772"/>
    <w:rsid w:val="00ED169E"/>
    <w:rsid w:val="00ED4235"/>
    <w:rsid w:val="00F04346"/>
    <w:rsid w:val="00F075DC"/>
    <w:rsid w:val="00F149E9"/>
    <w:rsid w:val="00F5134D"/>
    <w:rsid w:val="00F65FC8"/>
    <w:rsid w:val="00F74202"/>
    <w:rsid w:val="00F87713"/>
    <w:rsid w:val="00FB4360"/>
    <w:rsid w:val="00FD0C70"/>
  </w:rsids>
  <w:docVars>
    <w:docVar w:name="dvdocse" w:val="B10-0273/2026"/>
    <w:docVar w:name="dvlangue" w:val="FI"/>
    <w:docVar w:name="dvnumam" w:val="0"/>
    <w:docVar w:name="dvpe" w:val="789.144"/>
    <w:docVar w:name="dvtitre" w:val="Euroopan parlamentin päätöslauselma xx. kesäkuuta 2026 ehdotuksesta komission täytäntöönpanopäätökseksi Tansanian yhdistyneen tasavallan hyväksi toteutettavan toimintasuunnitelman rahoittamisesta vuonna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79ECE9"/>
  <w15:chartTrackingRefBased/>
  <w15:docId w15:val="{EA472155-099E-4B64-AF90-8E6DDAC2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D5D4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2095"/>
    <w:pPr>
      <w:spacing w:before="480" w:after="240"/>
    </w:pPr>
  </w:style>
  <w:style w:type="paragraph" w:customStyle="1" w:styleId="NormalHanging12a">
    <w:name w:val="NormalHanging12a"/>
    <w:basedOn w:val="Normal"/>
    <w:rsid w:val="00812095"/>
    <w:pPr>
      <w:spacing w:after="240"/>
      <w:ind w:left="567" w:hanging="567"/>
    </w:pPr>
  </w:style>
  <w:style w:type="character" w:styleId="Hyperlink">
    <w:name w:val="Hyperlink"/>
    <w:basedOn w:val="DefaultParagraphFont"/>
    <w:rsid w:val="00812095"/>
    <w:rPr>
      <w:color w:val="0563C1" w:themeColor="hyperlink"/>
      <w:u w:val="single"/>
    </w:rPr>
  </w:style>
  <w:style w:type="paragraph" w:styleId="Footer">
    <w:name w:val="footer"/>
    <w:basedOn w:val="Normal"/>
    <w:link w:val="FooterChar"/>
    <w:rsid w:val="00AD5D4E"/>
    <w:pPr>
      <w:tabs>
        <w:tab w:val="center" w:pos="4513"/>
        <w:tab w:val="right" w:pos="9026"/>
      </w:tabs>
    </w:pPr>
  </w:style>
  <w:style w:type="character" w:customStyle="1" w:styleId="FooterChar">
    <w:name w:val="Footer Char"/>
    <w:basedOn w:val="DefaultParagraphFont"/>
    <w:link w:val="Footer"/>
    <w:rsid w:val="00AD5D4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5298</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2026-06-18T11:31:00Z</dcterms:created>
  <dcterms:modified xsi:type="dcterms:W3CDTF">2026-06-18T11:31:00Z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B10-0273/2026</vt:lpwstr>
  </property>
  <property fmtid="{D5CDD505-2E9C-101B-9397-08002B2CF9AE}" pid="4" name="&lt;Type&gt;">
    <vt:lpwstr>RR</vt:lpwstr>
  </property>
</Properties>
</file>