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98F6D3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132F" w:rsidP="0010095E" w14:paraId="7357BCD5" w14:textId="77777777">
            <w:pPr>
              <w:pStyle w:val="EPName"/>
            </w:pPr>
            <w:r w:rsidRPr="009F132F">
              <w:t>Europski parlament</w:t>
            </w:r>
          </w:p>
          <w:p w:rsidR="00751A4A" w:rsidRPr="009F132F" w:rsidP="005F1B17" w14:paraId="07F43C2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132F">
              <w:t>2024</w:t>
            </w:r>
            <w:r w:rsidRPr="009F132F" w:rsidR="00817416">
              <w:t>-202</w:t>
            </w:r>
            <w:r w:rsidRPr="009F13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F132F" w:rsidP="0010095E" w14:paraId="3FB478EA" w14:textId="77777777">
            <w:pPr>
              <w:pStyle w:val="EPLogo"/>
            </w:pPr>
            <w:r w:rsidRPr="009F132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132F" w:rsidP="004C5D52" w14:paraId="5E5CD5E1" w14:textId="77777777">
      <w:pPr>
        <w:pStyle w:val="LineTop"/>
      </w:pPr>
    </w:p>
    <w:p w:rsidR="00680577" w:rsidRPr="009F132F" w:rsidP="00680577" w14:paraId="2A85F3DA" w14:textId="77777777">
      <w:pPr>
        <w:pStyle w:val="EPBodyTA1"/>
      </w:pPr>
      <w:r w:rsidRPr="009F132F">
        <w:t>USVOJENI TEKSTOVI</w:t>
      </w:r>
    </w:p>
    <w:p w:rsidR="00D058B8" w:rsidRPr="009F132F" w:rsidP="00D058B8" w14:paraId="6FE8C73C" w14:textId="77777777">
      <w:pPr>
        <w:pStyle w:val="LineBottom"/>
      </w:pPr>
    </w:p>
    <w:p w:rsidR="0015138C" w:rsidRPr="009F132F" w:rsidP="0015138C" w14:paraId="50304F38" w14:textId="755816CA">
      <w:pPr>
        <w:pStyle w:val="ATHeading1"/>
      </w:pPr>
      <w:bookmarkStart w:id="0" w:name="TANumber"/>
      <w:r w:rsidRPr="009F132F">
        <w:t>P10_TA(2026)0</w:t>
      </w:r>
      <w:r w:rsidR="003D15DE">
        <w:t>232</w:t>
      </w:r>
      <w:bookmarkEnd w:id="0"/>
    </w:p>
    <w:p w:rsidR="0015138C" w:rsidRPr="009F132F" w:rsidP="0015138C" w14:paraId="685BEC16" w14:textId="0B0AC421">
      <w:pPr>
        <w:pStyle w:val="ATHeading2"/>
      </w:pPr>
      <w:bookmarkStart w:id="1" w:name="title"/>
      <w:r>
        <w:t>F</w:t>
      </w:r>
      <w:r w:rsidRPr="009F132F">
        <w:t>inanciranj</w:t>
      </w:r>
      <w:r>
        <w:t>e</w:t>
      </w:r>
      <w:r w:rsidRPr="009F132F">
        <w:t xml:space="preserve"> godišnjeg akcijskog plana u korist Ujedinjene Republike Tanzanije za 2026.</w:t>
      </w:r>
      <w:bookmarkEnd w:id="1"/>
    </w:p>
    <w:p w:rsidR="0015138C" w:rsidRPr="009F132F" w:rsidP="0015138C" w14:paraId="297CF28B" w14:textId="77777777">
      <w:pPr>
        <w:rPr>
          <w:i/>
          <w:vanish/>
        </w:rPr>
      </w:pPr>
      <w:r>
        <w:rPr>
          <w:i/>
        </w:rPr>
        <w:fldChar w:fldCharType="begin"/>
      </w:r>
      <w:r w:rsidRPr="009F132F">
        <w:rPr>
          <w:i/>
        </w:rPr>
        <w:instrText xml:space="preserve"> TC"(</w:instrText>
      </w:r>
      <w:bookmarkStart w:id="2" w:name="DocNumber"/>
      <w:r w:rsidRPr="009F132F">
        <w:rPr>
          <w:i/>
        </w:rPr>
        <w:instrText>B10-0273/2026</w:instrText>
      </w:r>
      <w:bookmarkEnd w:id="2"/>
      <w:r w:rsidRPr="009F132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5138C" w:rsidRPr="009F132F" w:rsidP="0015138C" w14:paraId="39717D36" w14:textId="77777777">
      <w:pPr>
        <w:rPr>
          <w:vanish/>
        </w:rPr>
      </w:pPr>
      <w:bookmarkStart w:id="3" w:name="PE"/>
      <w:r w:rsidRPr="009F132F">
        <w:rPr>
          <w:vanish/>
        </w:rPr>
        <w:t>PE789.144</w:t>
      </w:r>
      <w:bookmarkEnd w:id="3"/>
    </w:p>
    <w:p w:rsidR="0015138C" w:rsidRPr="009F132F" w:rsidP="0015138C" w14:paraId="51DD5BBB" w14:textId="28F9316E">
      <w:pPr>
        <w:pStyle w:val="ATHeading3"/>
      </w:pPr>
      <w:bookmarkStart w:id="4" w:name="Sujet"/>
      <w:r w:rsidRPr="009F132F">
        <w:t xml:space="preserve">Rezolucija Europskog parlamenta od </w:t>
      </w:r>
      <w:r w:rsidR="009F132F">
        <w:t>18</w:t>
      </w:r>
      <w:r w:rsidRPr="009F132F">
        <w:t xml:space="preserve">. </w:t>
      </w:r>
      <w:r w:rsidR="009F132F">
        <w:t xml:space="preserve">lipnja </w:t>
      </w:r>
      <w:r w:rsidRPr="009F132F">
        <w:t>2026. o Nacrtu provedbene odluke Komisije o financiranju godišnjeg akcijskog plana u korist Ujedinjene Republike Tanzanije za 2026.</w:t>
      </w:r>
      <w:bookmarkEnd w:id="4"/>
      <w:r w:rsidRPr="009F132F">
        <w:t xml:space="preserve"> </w:t>
      </w:r>
      <w:bookmarkStart w:id="5" w:name="References"/>
      <w:r w:rsidRPr="009F132F">
        <w:t>(D115284/01 – 2026/2749(RSP))</w:t>
      </w:r>
      <w:bookmarkEnd w:id="5"/>
    </w:p>
    <w:p w:rsidR="000A56A2" w:rsidRPr="009F132F" w:rsidP="000A56A2" w14:paraId="6A5E7D5C" w14:textId="77777777">
      <w:pPr>
        <w:pStyle w:val="EPComma"/>
      </w:pPr>
      <w:bookmarkStart w:id="6" w:name="TextBodyBegin"/>
      <w:bookmarkEnd w:id="6"/>
      <w:r w:rsidRPr="009F132F">
        <w:rPr>
          <w:i/>
          <w:iCs/>
        </w:rPr>
        <w:t>Europski parlament</w:t>
      </w:r>
      <w:r w:rsidRPr="009F132F">
        <w:t>,</w:t>
      </w:r>
    </w:p>
    <w:p w:rsidR="000A56A2" w:rsidRPr="009F132F" w:rsidP="000A56A2" w14:paraId="45FC12B5" w14:textId="77777777">
      <w:pPr>
        <w:pStyle w:val="NormalHanging12a"/>
      </w:pPr>
      <w:r w:rsidRPr="009F132F">
        <w:t>–</w:t>
      </w:r>
      <w:r w:rsidRPr="009F132F">
        <w:tab/>
        <w:t>uzimajući u obzir Nacrt provedbene odluke Komisije o financiranju godišnjeg akcijskog plana u korist Ujedinjene Republike Tanzanije za 2026. (D115284/01),</w:t>
      </w:r>
    </w:p>
    <w:p w:rsidR="000A56A2" w:rsidRPr="009F132F" w:rsidP="000A56A2" w14:paraId="726683E4" w14:textId="77777777">
      <w:pPr>
        <w:pStyle w:val="NormalHanging12a"/>
      </w:pPr>
      <w:r w:rsidRPr="009F132F">
        <w:t>–</w:t>
      </w:r>
      <w:r w:rsidRPr="009F132F">
        <w:tab/>
        <w:t>uzimajući u obzir Uredbu (EU) 2021/947 Europskog parlamenta i Vijeća od 9. lipnja 2021. o uspostavi Instrumenta za susjedstvo, razvoj i međunarodnu suradnju – Globalna Europa, izmjeni i stavljanju izvan snage Odluke br. 466/2014/EU Europskog parlamenta i Vijeća te stavljanju izvan snage Uredbe (EU) 2017/1601 Europskog parlamenta i Vijeća i Uredbe Vijeća (EZ, Euratom) br. 480/2009</w:t>
      </w:r>
      <w:r>
        <w:rPr>
          <w:vertAlign w:val="superscript"/>
        </w:rPr>
        <w:footnoteReference w:id="2"/>
      </w:r>
      <w:r w:rsidRPr="009F132F">
        <w:t xml:space="preserve"> (Uredba o Instrumentu NDICI – Globalna Europa), a posebno njezin članak 25.,</w:t>
      </w:r>
    </w:p>
    <w:p w:rsidR="000A56A2" w:rsidRPr="009F132F" w:rsidP="000A56A2" w14:paraId="61DEAF5F" w14:textId="77777777">
      <w:pPr>
        <w:pStyle w:val="NormalHanging12a"/>
      </w:pPr>
      <w:r w:rsidRPr="009F132F">
        <w:t>–</w:t>
      </w:r>
      <w:r w:rsidRPr="009F132F">
        <w:tab/>
        <w:t>uzimajući u obzir mišljenje od 20. svibnja 2026. koje je iznio odbor naveden u članku 45. Uredbe (EU) 2021/947,</w:t>
      </w:r>
    </w:p>
    <w:p w:rsidR="000A56A2" w:rsidRPr="009F132F" w:rsidP="000A56A2" w14:paraId="36FABEEE" w14:textId="77777777">
      <w:pPr>
        <w:pStyle w:val="NormalHanging12a"/>
      </w:pPr>
      <w:r w:rsidRPr="009F132F">
        <w:t>–</w:t>
      </w:r>
      <w:r w:rsidRPr="009F132F">
        <w:tab/>
        <w:t>uzimajući u obzir članak 11. Uredbe (EU) br. 182/2011 Europskog parlamenta i Vijeća od 16. veljače 2011. o utvrđivanju pravila i općih načela u vezi s mehanizmima nadzora država članica nad izvršavanjem provedbenih ovlasti Komisije</w:t>
      </w:r>
      <w:r>
        <w:rPr>
          <w:vertAlign w:val="superscript"/>
        </w:rPr>
        <w:footnoteReference w:id="3"/>
      </w:r>
      <w:r w:rsidRPr="009F132F">
        <w:t>,</w:t>
      </w:r>
    </w:p>
    <w:p w:rsidR="000A56A2" w:rsidRPr="009F132F" w:rsidP="000A56A2" w14:paraId="4C7B8E1F" w14:textId="77777777">
      <w:pPr>
        <w:pStyle w:val="NormalHanging12a"/>
      </w:pPr>
      <w:r w:rsidRPr="009F132F">
        <w:t>–</w:t>
      </w:r>
      <w:r w:rsidRPr="009F132F">
        <w:tab/>
        <w:t>uzimajući u obzir Rezoluciju Europskog parlamenta od 27. studenoga 2025. o Nacrtu provedbene odluke Komisije o financiranju godišnjeg akcijskog plana u korist Ujedinjene Republike Tanzanije za 2025.</w:t>
      </w:r>
      <w:r>
        <w:rPr>
          <w:vertAlign w:val="superscript"/>
        </w:rPr>
        <w:footnoteReference w:id="4"/>
      </w:r>
      <w:r w:rsidRPr="009F132F">
        <w:t>,</w:t>
      </w:r>
    </w:p>
    <w:p w:rsidR="000A56A2" w:rsidRPr="009F132F" w:rsidP="000A56A2" w14:paraId="3B08170D" w14:textId="77777777">
      <w:pPr>
        <w:pStyle w:val="NormalHanging12a"/>
      </w:pPr>
      <w:r w:rsidRPr="009F132F">
        <w:t>–</w:t>
      </w:r>
      <w:r w:rsidRPr="009F132F">
        <w:tab/>
        <w:t xml:space="preserve">uzimajući u obzir Rezoluciju Europskog parlamenta od 27. studenoga 2025. o ubojstvima nakon izbora i pogoršanju stanja ljudskih prava u Tanzaniji, uključujući slučaj zatvorenog oporbenog čelnika </w:t>
      </w:r>
      <w:r w:rsidRPr="009F132F">
        <w:t>Tundua</w:t>
      </w:r>
      <w:r w:rsidRPr="009F132F">
        <w:t xml:space="preserve"> </w:t>
      </w:r>
      <w:r w:rsidRPr="009F132F">
        <w:t>Lissua</w:t>
      </w:r>
      <w:r w:rsidRPr="009F132F">
        <w:t>,</w:t>
      </w:r>
    </w:p>
    <w:p w:rsidR="000A56A2" w:rsidRPr="009F132F" w:rsidP="000A56A2" w14:paraId="406914C1" w14:textId="77777777">
      <w:pPr>
        <w:pStyle w:val="NormalHanging12a"/>
      </w:pPr>
      <w:r w:rsidRPr="009F132F">
        <w:t>–</w:t>
      </w:r>
      <w:r w:rsidRPr="009F132F">
        <w:tab/>
        <w:t xml:space="preserve">uzimajući u obzir Rezoluciju Europskog parlamenta od 8. svibnja 2025. o uhićenju i </w:t>
      </w:r>
      <w:r w:rsidRPr="009F132F">
        <w:t xml:space="preserve">riziku od pogubljenja </w:t>
      </w:r>
      <w:r w:rsidRPr="009F132F">
        <w:t>Tundua</w:t>
      </w:r>
      <w:r w:rsidRPr="009F132F">
        <w:t xml:space="preserve"> </w:t>
      </w:r>
      <w:r w:rsidRPr="009F132F">
        <w:t>Lissua</w:t>
      </w:r>
      <w:r w:rsidRPr="009F132F">
        <w:t xml:space="preserve">, predsjednika stranke </w:t>
      </w:r>
      <w:r w:rsidRPr="009F132F">
        <w:t>Chadema</w:t>
      </w:r>
      <w:r w:rsidRPr="009F132F">
        <w:t>, glavne oporbene stranke u Tanzaniji,</w:t>
      </w:r>
    </w:p>
    <w:p w:rsidR="000A56A2" w:rsidRPr="009F132F" w:rsidP="000A56A2" w14:paraId="1A4E1173" w14:textId="77777777">
      <w:pPr>
        <w:pStyle w:val="NormalHanging12a"/>
      </w:pPr>
      <w:r w:rsidRPr="009F132F">
        <w:t>–</w:t>
      </w:r>
      <w:r w:rsidRPr="009F132F">
        <w:tab/>
        <w:t>uzimajući u obzir članak 115. stavke 2. i 3. Poslovnika,</w:t>
      </w:r>
    </w:p>
    <w:p w:rsidR="000A56A2" w:rsidRPr="009F132F" w:rsidP="000A56A2" w14:paraId="40001A61" w14:textId="77777777">
      <w:pPr>
        <w:pStyle w:val="NormalHanging12a"/>
      </w:pPr>
      <w:r w:rsidRPr="009F132F">
        <w:t>–</w:t>
      </w:r>
      <w:r w:rsidRPr="009F132F">
        <w:tab/>
        <w:t>uzimajući u obzir zajedničke rasprave Odbora za vanjske poslove i Odbora za razvoj u skladu sa člankom 59. Poslovnika,</w:t>
      </w:r>
    </w:p>
    <w:p w:rsidR="000A56A2" w:rsidRPr="009F132F" w:rsidP="000A56A2" w14:paraId="5F00DE84" w14:textId="77777777">
      <w:pPr>
        <w:pStyle w:val="NormalHanging12a"/>
      </w:pPr>
      <w:r w:rsidRPr="009F132F">
        <w:t>–</w:t>
      </w:r>
      <w:r w:rsidRPr="009F132F">
        <w:tab/>
        <w:t>uzimajući u obzir prijedlog rezolucije Odbora za vanjske poslove i Odbora za razvoj,</w:t>
      </w:r>
    </w:p>
    <w:p w:rsidR="000A56A2" w:rsidRPr="009F132F" w:rsidP="000A56A2" w14:paraId="3F6561A5" w14:textId="77777777">
      <w:pPr>
        <w:pStyle w:val="NormalHanging12a"/>
      </w:pPr>
      <w:r w:rsidRPr="009F132F">
        <w:t>A.</w:t>
      </w:r>
      <w:r w:rsidRPr="009F132F">
        <w:tab/>
        <w:t>budući da je Komisija u studenome 2025. obustavila postupak donošenja Nacrta provedbene odluke o financiranju godišnjeg akcijskog plana u korist Ujedinjene Republike Tanzanije za 2025. zbog zabrinutosti koju je izrazio Europski parlament;</w:t>
      </w:r>
    </w:p>
    <w:p w:rsidR="000A56A2" w:rsidRPr="009F132F" w:rsidP="000A56A2" w14:paraId="2F5FBBCD" w14:textId="77777777">
      <w:pPr>
        <w:pStyle w:val="NormalHanging12a"/>
      </w:pPr>
      <w:r w:rsidRPr="009F132F">
        <w:t>B.</w:t>
      </w:r>
      <w:r w:rsidRPr="009F132F">
        <w:tab/>
        <w:t>budući da je 20. svibnja 2026. revidirani Nacrt provedbene odluke Komisije predstavljen odboru Instrumenta za susjedstvo, razvoj i međunarodnu suradnju;</w:t>
      </w:r>
    </w:p>
    <w:p w:rsidR="000A56A2" w:rsidRPr="009F132F" w:rsidP="000A56A2" w14:paraId="06B47E8B" w14:textId="77777777">
      <w:pPr>
        <w:pStyle w:val="NormalHanging12a"/>
      </w:pPr>
      <w:r w:rsidRPr="009F132F">
        <w:t>C.</w:t>
      </w:r>
      <w:r w:rsidRPr="009F132F">
        <w:tab/>
        <w:t>budući da se u revidiranom Nacrtu provedbene odluke Komisije zadržava isti ukupni iznos i uglavnom iste mjere kao u prethodnom nacrtu odluke, te se istodobno predlaže da bi se provedba trebala odvijati uglavnom neizravnim upravljanjem, a ne izravnom proračunskom potporom tanzanijskim vlastima;</w:t>
      </w:r>
    </w:p>
    <w:p w:rsidR="000A56A2" w:rsidRPr="009F132F" w:rsidP="000A56A2" w14:paraId="55675085" w14:textId="77777777">
      <w:pPr>
        <w:pStyle w:val="NormalHanging12a"/>
      </w:pPr>
      <w:r w:rsidRPr="009F132F">
        <w:t>D.</w:t>
      </w:r>
      <w:r w:rsidRPr="009F132F">
        <w:tab/>
        <w:t xml:space="preserve">budući da je 23. travnja 2026. nacionalno istražno povjerenstvo Tanzanije u okviru istrage nasilja u vezi s izborima održanima 29. listopada 2025. potvrdilo da je najmanje 518 osoba poginulo, ali je propustilo identificirati odgovorne, čime je otežana odgovornost i pravda za žrtve, te nije objavilo svoje nalaze; </w:t>
      </w:r>
    </w:p>
    <w:p w:rsidR="000A56A2" w:rsidRPr="009F132F" w:rsidP="000A56A2" w14:paraId="7788D6BB" w14:textId="77777777">
      <w:pPr>
        <w:pStyle w:val="NormalHanging12a"/>
      </w:pPr>
      <w:r w:rsidRPr="009F132F">
        <w:t>E.</w:t>
      </w:r>
      <w:r w:rsidRPr="009F132F">
        <w:tab/>
        <w:t>budući da su tanzanijske vlasti u svibnju 2026. odbile posjet izaslanstva Pododbora Europskog parlamenta za ljudska prava;</w:t>
      </w:r>
    </w:p>
    <w:p w:rsidR="000A56A2" w:rsidRPr="009F132F" w:rsidP="000A56A2" w14:paraId="57A2AAA9" w14:textId="77777777">
      <w:pPr>
        <w:pStyle w:val="NormalHanging12a"/>
      </w:pPr>
      <w:r w:rsidRPr="009F132F">
        <w:t>F.</w:t>
      </w:r>
      <w:r w:rsidRPr="009F132F">
        <w:tab/>
        <w:t xml:space="preserve">budući da je </w:t>
      </w:r>
      <w:r w:rsidRPr="009F132F">
        <w:t>Tundu</w:t>
      </w:r>
      <w:r w:rsidRPr="009F132F">
        <w:t xml:space="preserve"> </w:t>
      </w:r>
      <w:r w:rsidRPr="009F132F">
        <w:t>Lissu</w:t>
      </w:r>
      <w:r w:rsidRPr="009F132F">
        <w:t xml:space="preserve">, vođa stranke </w:t>
      </w:r>
      <w:r w:rsidRPr="009F132F">
        <w:t>Chadema</w:t>
      </w:r>
      <w:r w:rsidRPr="009F132F">
        <w:t>, glavne oporbene stranke u Tanzaniji, pritvoren više od jedne godine i da se suočava s politički motiviranim optužbama koje imaju ozbiljne pravne posljedice, uključujući smrtnu kaznu;</w:t>
      </w:r>
    </w:p>
    <w:p w:rsidR="000A56A2" w:rsidRPr="009F132F" w:rsidP="000A56A2" w14:paraId="1679F06F" w14:textId="77777777">
      <w:pPr>
        <w:pStyle w:val="NormalHanging12a"/>
      </w:pPr>
      <w:r w:rsidRPr="009F132F">
        <w:t>G.</w:t>
      </w:r>
      <w:r w:rsidRPr="009F132F">
        <w:tab/>
        <w:t>budući da tanzanijska vlada nije ispunila nijedan od zahtjeva koje je Europski parlament iznio u svojim rezolucijama od 8. svibnja i 27. studenoga 2025., uključujući, među ostalim, poziv na trenutačno i bezuvjetno puštanje na slobodu članova oporbe, poboljšanje stanja ljudskih prava i osnivanje neovisnog i nepristranog međunarodnog istražnog povjerenstva za istragu poslijeizbornog nasilja;</w:t>
      </w:r>
    </w:p>
    <w:p w:rsidR="000A56A2" w:rsidRPr="009F132F" w:rsidP="000A56A2" w14:paraId="5F09A066" w14:textId="77777777">
      <w:pPr>
        <w:pStyle w:val="NormalHanging12a"/>
      </w:pPr>
      <w:r w:rsidRPr="009F132F">
        <w:t>H.</w:t>
      </w:r>
      <w:r w:rsidRPr="009F132F">
        <w:tab/>
        <w:t>budući da Komisija i Europska služba za vanjsko djelovanje nisu učinkovito dokazale da su riješile stvarne probleme koji su doveli do prigovora u studenome 2025.;</w:t>
      </w:r>
    </w:p>
    <w:p w:rsidR="000A56A2" w:rsidRPr="009F132F" w:rsidP="000A56A2" w14:paraId="0F5B4D3D" w14:textId="77777777">
      <w:pPr>
        <w:pStyle w:val="NormalHanging12a"/>
      </w:pPr>
      <w:r w:rsidRPr="009F132F">
        <w:t>1.</w:t>
      </w:r>
      <w:r w:rsidRPr="009F132F">
        <w:tab/>
        <w:t>smatra da Nacrt provedbene odluke Komisije prekoračuje provedbene ovlasti predviđene Uredbom (EU) 2021/947;</w:t>
      </w:r>
    </w:p>
    <w:p w:rsidR="000A56A2" w:rsidRPr="009F132F" w:rsidP="000A56A2" w14:paraId="3CAECB04" w14:textId="77777777">
      <w:pPr>
        <w:pStyle w:val="NormalHanging12a"/>
      </w:pPr>
      <w:r w:rsidRPr="009F132F">
        <w:t>2.</w:t>
      </w:r>
      <w:r w:rsidRPr="009F132F">
        <w:tab/>
        <w:t>smatra da Nacrt provedbene odluke Komisije nije u skladu s pravom Unije jer je nespojiv s ciljem Uredbe (EU) 2021/947;</w:t>
      </w:r>
    </w:p>
    <w:p w:rsidR="000A56A2" w:rsidRPr="009F132F" w:rsidP="000A56A2" w14:paraId="18AF3897" w14:textId="77777777">
      <w:pPr>
        <w:pStyle w:val="NormalHanging12a"/>
      </w:pPr>
      <w:r w:rsidRPr="009F132F">
        <w:t>3.</w:t>
      </w:r>
      <w:r w:rsidRPr="009F132F">
        <w:tab/>
        <w:t>smatra da se u Nacrtu provedbene odluke Komisije ne uzima na odgovarajući način u obzir zabrinutost koju je Europski parlament izrazio u svojoj rezoluciji od 27. studenoga 2025.;</w:t>
      </w:r>
    </w:p>
    <w:p w:rsidR="000A56A2" w:rsidRPr="009F132F" w:rsidP="000A56A2" w14:paraId="151AAE0F" w14:textId="77777777">
      <w:pPr>
        <w:pStyle w:val="NormalHanging12a"/>
      </w:pPr>
      <w:r w:rsidRPr="009F132F">
        <w:t>4.</w:t>
      </w:r>
      <w:r w:rsidRPr="009F132F">
        <w:tab/>
        <w:t>žali zbog toga što Komisija ni ovaj put nije obustavila postupak donošenja Nacrta provedbene odluke nakon što ju je Europski parlament obavijestio o pitanjima koja ga zabrinjavaju; žali zbog toga što Komisija i ESVD nisu uzeli u obzir zabrinutost koju je Europski parlament izrazio u svojim rezolucijama o Tanzaniji;</w:t>
      </w:r>
    </w:p>
    <w:p w:rsidR="000A56A2" w:rsidRPr="009F132F" w:rsidP="000A56A2" w14:paraId="3B942794" w14:textId="77777777">
      <w:pPr>
        <w:pStyle w:val="NormalHanging12a"/>
      </w:pPr>
      <w:r w:rsidRPr="009F132F">
        <w:t>5.</w:t>
      </w:r>
      <w:r w:rsidRPr="009F132F">
        <w:tab/>
        <w:t>poziva Komisiju da povuče svoj Nacrt provedbene odluke i da Odboru podnese novi nacrt, osiguravajući pritom da nove promjene ne utječu negativno na uključivo pružanje osnovnih usluga stanovništvu, zaštitu ljudskih prava i demokracije ili potporu organizacijama civilnog društva;</w:t>
      </w:r>
    </w:p>
    <w:p w:rsidR="00E365E1" w:rsidRPr="009F132F" w:rsidP="009F132F" w14:paraId="20ABBB56" w14:textId="24FEB724">
      <w:pPr>
        <w:ind w:left="567" w:hanging="567"/>
      </w:pPr>
      <w:r w:rsidRPr="009F132F">
        <w:t>6.</w:t>
      </w:r>
      <w:r w:rsidRPr="009F132F">
        <w:tab/>
        <w:t>nalaže svojoj predsjednici da ovu Rezoluciju proslijedi Vijeću i Komisiji te vladama i parlamentima država članica.</w:t>
      </w:r>
    </w:p>
    <w:sectPr w:rsidSect="003128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128CF" w14:paraId="02C57A8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128CF" w14:paraId="2F09B27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128CF" w14:paraId="037CD6E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5138C" w:rsidRPr="003128CF" w14:paraId="529C7ECC" w14:textId="77777777">
      <w:r w:rsidRPr="003128CF">
        <w:separator/>
      </w:r>
    </w:p>
  </w:footnote>
  <w:footnote w:type="continuationSeparator" w:id="1">
    <w:p w:rsidR="0015138C" w:rsidRPr="003128CF" w14:paraId="57A09C34" w14:textId="77777777">
      <w:r w:rsidRPr="003128CF">
        <w:continuationSeparator/>
      </w:r>
    </w:p>
  </w:footnote>
  <w:footnote w:id="2">
    <w:p w:rsidR="000A56A2" w:rsidRPr="003128CF" w:rsidP="003128CF" w14:paraId="683F35EC" w14:textId="391F0D47">
      <w:pPr>
        <w:pStyle w:val="FootnoteText"/>
        <w:ind w:left="567" w:hanging="567"/>
        <w:rPr>
          <w:sz w:val="24"/>
          <w:szCs w:val="24"/>
          <w:lang w:val="hr-HR"/>
        </w:rPr>
      </w:pPr>
      <w:r w:rsidRPr="003128CF">
        <w:rPr>
          <w:rStyle w:val="FootnoteReference"/>
          <w:sz w:val="24"/>
          <w:lang w:val="hr-HR"/>
        </w:rPr>
        <w:footnoteRef/>
      </w:r>
      <w:r w:rsidRPr="003128CF" w:rsidR="003128CF">
        <w:rPr>
          <w:sz w:val="24"/>
          <w:lang w:val="hr-HR"/>
        </w:rPr>
        <w:t xml:space="preserve"> </w:t>
      </w:r>
      <w:r w:rsidRPr="003128CF" w:rsidR="003128CF">
        <w:rPr>
          <w:sz w:val="24"/>
          <w:lang w:val="hr-HR"/>
        </w:rPr>
        <w:tab/>
      </w:r>
      <w:r w:rsidRPr="003128CF">
        <w:rPr>
          <w:sz w:val="24"/>
          <w:lang w:val="hr-HR"/>
        </w:rPr>
        <w:t xml:space="preserve">SL L 209, 14.6.2021., str. 1., ELI: </w:t>
      </w:r>
      <w:hyperlink r:id="rId1" w:tgtFrame="http://data.europa.eu/eli/reg/2021/947/oj" w:history="1">
        <w:r w:rsidRPr="003128CF">
          <w:rPr>
            <w:rStyle w:val="Hyperlink"/>
            <w:sz w:val="24"/>
            <w:lang w:val="hr-HR"/>
          </w:rPr>
          <w:t>http://data.europa.eu/eli/reg/2021/947/oj.</w:t>
        </w:r>
      </w:hyperlink>
    </w:p>
  </w:footnote>
  <w:footnote w:id="3">
    <w:p w:rsidR="000A56A2" w:rsidRPr="003128CF" w:rsidP="003128CF" w14:paraId="5C048C94" w14:textId="50BD56C5">
      <w:pPr>
        <w:pStyle w:val="FootnoteText"/>
        <w:ind w:left="567" w:hanging="567"/>
        <w:rPr>
          <w:sz w:val="24"/>
          <w:szCs w:val="24"/>
          <w:lang w:val="hr-HR"/>
        </w:rPr>
      </w:pPr>
      <w:r w:rsidRPr="003128CF">
        <w:rPr>
          <w:rStyle w:val="FootnoteReference"/>
          <w:sz w:val="24"/>
          <w:szCs w:val="24"/>
          <w:lang w:val="hr-HR"/>
        </w:rPr>
        <w:footnoteRef/>
      </w:r>
      <w:r w:rsidRPr="003128CF" w:rsidR="003128CF">
        <w:rPr>
          <w:sz w:val="24"/>
          <w:lang w:val="hr-HR"/>
        </w:rPr>
        <w:t xml:space="preserve"> </w:t>
      </w:r>
      <w:r w:rsidRPr="003128CF" w:rsidR="003128CF">
        <w:rPr>
          <w:sz w:val="24"/>
          <w:lang w:val="hr-HR"/>
        </w:rPr>
        <w:tab/>
      </w:r>
      <w:r w:rsidRPr="003128CF">
        <w:rPr>
          <w:sz w:val="24"/>
          <w:lang w:val="hr-HR"/>
        </w:rPr>
        <w:t xml:space="preserve">SL L 55, 28.2.2011., str. </w:t>
      </w:r>
      <w:r w:rsidRPr="003128CF">
        <w:rPr>
          <w:sz w:val="24"/>
          <w:lang w:val="hr-HR"/>
        </w:rPr>
        <w:t xml:space="preserve">13., ELI: </w:t>
      </w:r>
      <w:hyperlink r:id="rId2" w:tooltip="ELI URI za pristup dokumentu." w:history="1">
        <w:r w:rsidRPr="003128CF">
          <w:rPr>
            <w:rStyle w:val="Hyperlink"/>
            <w:sz w:val="24"/>
            <w:lang w:val="hr-HR"/>
          </w:rPr>
          <w:t>http://data.europa.eu/eli/reg/2011/182/oj</w:t>
        </w:r>
      </w:hyperlink>
      <w:r w:rsidRPr="003128CF">
        <w:rPr>
          <w:rStyle w:val="Hyperlink"/>
          <w:sz w:val="24"/>
          <w:lang w:val="hr-HR"/>
        </w:rPr>
        <w:t>.</w:t>
      </w:r>
    </w:p>
  </w:footnote>
  <w:footnote w:id="4">
    <w:p w:rsidR="000A56A2" w:rsidRPr="003128CF" w:rsidP="003128CF" w14:paraId="3591EE8C" w14:textId="70708AF3">
      <w:pPr>
        <w:pStyle w:val="FootnoteText"/>
        <w:ind w:left="567" w:hanging="567"/>
        <w:rPr>
          <w:sz w:val="24"/>
          <w:lang w:val="hr-HR"/>
        </w:rPr>
      </w:pPr>
      <w:r w:rsidRPr="003128CF">
        <w:rPr>
          <w:rStyle w:val="FootnoteReference"/>
          <w:sz w:val="24"/>
          <w:szCs w:val="24"/>
          <w:lang w:val="hr-HR"/>
        </w:rPr>
        <w:footnoteRef/>
      </w:r>
      <w:r w:rsidRPr="003128CF" w:rsidR="003128CF">
        <w:rPr>
          <w:sz w:val="24"/>
          <w:szCs w:val="24"/>
          <w:lang w:val="hr-HR"/>
        </w:rPr>
        <w:t xml:space="preserve"> </w:t>
      </w:r>
      <w:r w:rsidRPr="003128CF" w:rsidR="003128CF">
        <w:rPr>
          <w:sz w:val="24"/>
          <w:szCs w:val="24"/>
          <w:lang w:val="hr-HR"/>
        </w:rPr>
        <w:tab/>
      </w:r>
      <w:r w:rsidRPr="003128CF">
        <w:rPr>
          <w:sz w:val="24"/>
          <w:szCs w:val="24"/>
          <w:lang w:val="hr-HR"/>
        </w:rPr>
        <w:t>Usvojeni tekstovi, P10_TA(2025)0314.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128CF" w14:paraId="1F3AFAB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128CF" w14:paraId="2769D51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128CF" w14:paraId="6E4BD31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4832193">
    <w:abstractNumId w:val="9"/>
  </w:num>
  <w:num w:numId="2" w16cid:durableId="728192492">
    <w:abstractNumId w:val="9"/>
  </w:num>
  <w:num w:numId="3" w16cid:durableId="183598331">
    <w:abstractNumId w:val="7"/>
  </w:num>
  <w:num w:numId="4" w16cid:durableId="1886943136">
    <w:abstractNumId w:val="7"/>
  </w:num>
  <w:num w:numId="5" w16cid:durableId="1388534537">
    <w:abstractNumId w:val="6"/>
  </w:num>
  <w:num w:numId="6" w16cid:durableId="1560941896">
    <w:abstractNumId w:val="6"/>
  </w:num>
  <w:num w:numId="7" w16cid:durableId="236592004">
    <w:abstractNumId w:val="5"/>
  </w:num>
  <w:num w:numId="8" w16cid:durableId="676541187">
    <w:abstractNumId w:val="5"/>
  </w:num>
  <w:num w:numId="9" w16cid:durableId="1893498452">
    <w:abstractNumId w:val="4"/>
  </w:num>
  <w:num w:numId="10" w16cid:durableId="424035069">
    <w:abstractNumId w:val="4"/>
  </w:num>
  <w:num w:numId="11" w16cid:durableId="1165121823">
    <w:abstractNumId w:val="8"/>
  </w:num>
  <w:num w:numId="12" w16cid:durableId="1135486526">
    <w:abstractNumId w:val="8"/>
  </w:num>
  <w:num w:numId="13" w16cid:durableId="512262001">
    <w:abstractNumId w:val="3"/>
  </w:num>
  <w:num w:numId="14" w16cid:durableId="398089761">
    <w:abstractNumId w:val="3"/>
  </w:num>
  <w:num w:numId="15" w16cid:durableId="583805829">
    <w:abstractNumId w:val="2"/>
  </w:num>
  <w:num w:numId="16" w16cid:durableId="2053994002">
    <w:abstractNumId w:val="2"/>
  </w:num>
  <w:num w:numId="17" w16cid:durableId="2124301178">
    <w:abstractNumId w:val="1"/>
  </w:num>
  <w:num w:numId="18" w16cid:durableId="520243689">
    <w:abstractNumId w:val="1"/>
  </w:num>
  <w:num w:numId="19" w16cid:durableId="608702459">
    <w:abstractNumId w:val="0"/>
  </w:num>
  <w:num w:numId="20" w16cid:durableId="1966036046">
    <w:abstractNumId w:val="0"/>
  </w:num>
  <w:num w:numId="21" w16cid:durableId="643857289">
    <w:abstractNumId w:val="9"/>
  </w:num>
  <w:num w:numId="22" w16cid:durableId="1815097331">
    <w:abstractNumId w:val="7"/>
  </w:num>
  <w:num w:numId="23" w16cid:durableId="1349865843">
    <w:abstractNumId w:val="6"/>
  </w:num>
  <w:num w:numId="24" w16cid:durableId="502553269">
    <w:abstractNumId w:val="5"/>
  </w:num>
  <w:num w:numId="25" w16cid:durableId="1101532454">
    <w:abstractNumId w:val="4"/>
  </w:num>
  <w:num w:numId="26" w16cid:durableId="13463775">
    <w:abstractNumId w:val="8"/>
  </w:num>
  <w:num w:numId="27" w16cid:durableId="1217858180">
    <w:abstractNumId w:val="3"/>
  </w:num>
  <w:num w:numId="28" w16cid:durableId="865215979">
    <w:abstractNumId w:val="2"/>
  </w:num>
  <w:num w:numId="29" w16cid:durableId="1105729192">
    <w:abstractNumId w:val="1"/>
  </w:num>
  <w:num w:numId="30" w16cid:durableId="12850091">
    <w:abstractNumId w:val="0"/>
  </w:num>
  <w:num w:numId="31" w16cid:durableId="797920671">
    <w:abstractNumId w:val="9"/>
  </w:num>
  <w:num w:numId="32" w16cid:durableId="694842182">
    <w:abstractNumId w:val="7"/>
  </w:num>
  <w:num w:numId="33" w16cid:durableId="2121294898">
    <w:abstractNumId w:val="6"/>
  </w:num>
  <w:num w:numId="34" w16cid:durableId="579679307">
    <w:abstractNumId w:val="5"/>
  </w:num>
  <w:num w:numId="35" w16cid:durableId="520969194">
    <w:abstractNumId w:val="4"/>
  </w:num>
  <w:num w:numId="36" w16cid:durableId="77483328">
    <w:abstractNumId w:val="8"/>
  </w:num>
  <w:num w:numId="37" w16cid:durableId="1558932274">
    <w:abstractNumId w:val="3"/>
  </w:num>
  <w:num w:numId="38" w16cid:durableId="2110731504">
    <w:abstractNumId w:val="2"/>
  </w:num>
  <w:num w:numId="39" w16cid:durableId="1535388670">
    <w:abstractNumId w:val="1"/>
  </w:num>
  <w:num w:numId="40" w16cid:durableId="396630880">
    <w:abstractNumId w:val="0"/>
  </w:num>
  <w:num w:numId="41" w16cid:durableId="965239006">
    <w:abstractNumId w:val="10"/>
  </w:num>
  <w:num w:numId="42" w16cid:durableId="551890369">
    <w:abstractNumId w:val="10"/>
  </w:num>
  <w:num w:numId="43" w16cid:durableId="366953028">
    <w:abstractNumId w:val="10"/>
  </w:num>
  <w:num w:numId="44" w16cid:durableId="21590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8C"/>
    <w:rsid w:val="00002272"/>
    <w:rsid w:val="00064002"/>
    <w:rsid w:val="000677B9"/>
    <w:rsid w:val="000831BA"/>
    <w:rsid w:val="000A42CC"/>
    <w:rsid w:val="000A56A2"/>
    <w:rsid w:val="000E7DD9"/>
    <w:rsid w:val="0010095E"/>
    <w:rsid w:val="00125B37"/>
    <w:rsid w:val="001414ED"/>
    <w:rsid w:val="0015138C"/>
    <w:rsid w:val="00187494"/>
    <w:rsid w:val="001F32AE"/>
    <w:rsid w:val="002767FF"/>
    <w:rsid w:val="002B18FE"/>
    <w:rsid w:val="002B5493"/>
    <w:rsid w:val="003128CF"/>
    <w:rsid w:val="00343214"/>
    <w:rsid w:val="00361C00"/>
    <w:rsid w:val="00395FA1"/>
    <w:rsid w:val="003D15D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E2E"/>
    <w:rsid w:val="00545827"/>
    <w:rsid w:val="00560270"/>
    <w:rsid w:val="005C2568"/>
    <w:rsid w:val="005F1B17"/>
    <w:rsid w:val="006037C0"/>
    <w:rsid w:val="006631B6"/>
    <w:rsid w:val="00680577"/>
    <w:rsid w:val="006C793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32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73/2026"/>
    <w:docVar w:name="dvlangue" w:val="HR"/>
    <w:docVar w:name="dvnumam" w:val="0"/>
    <w:docVar w:name="dvpe" w:val="789.144"/>
    <w:docVar w:name="dvtitre" w:val="Rezolucija Europskog parlamenta od .... 2026. o Nacrtu provedbene odluke Komisije o financiranju godišnjeg akcijskog plana u korist Ujedinjene Republike Tanzanije za 2026.(D115284/01 – 2026/274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719972"/>
  <w15:chartTrackingRefBased/>
  <w15:docId w15:val="{39E87245-1CE1-4FF1-A06B-AA12BB32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56A2"/>
    <w:pPr>
      <w:spacing w:before="480" w:after="240"/>
    </w:pPr>
  </w:style>
  <w:style w:type="paragraph" w:customStyle="1" w:styleId="NormalHanging12a">
    <w:name w:val="NormalHanging12a"/>
    <w:basedOn w:val="Normal"/>
    <w:rsid w:val="000A56A2"/>
    <w:pPr>
      <w:spacing w:after="240"/>
      <w:ind w:left="567" w:hanging="567"/>
    </w:pPr>
  </w:style>
  <w:style w:type="character" w:styleId="Hyperlink">
    <w:name w:val="Hyperlink"/>
    <w:basedOn w:val="DefaultParagraphFont"/>
    <w:rsid w:val="000A56A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C793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2" Type="http://schemas.openxmlformats.org/officeDocument/2006/relationships/hyperlink" Target="http://data.europa.eu/eli/reg/2011/1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758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2026-06-18T12:39:00Z</dcterms:created>
  <dcterms:modified xsi:type="dcterms:W3CDTF">2026-06-18T12:39:00Z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B10-0273/2026</vt:lpwstr>
  </property>
  <property fmtid="{D5CDD505-2E9C-101B-9397-08002B2CF9AE}" pid="4" name="&lt;Type&gt;">
    <vt:lpwstr>RR</vt:lpwstr>
  </property>
</Properties>
</file>