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A4E1115" w14:textId="77777777" w:rsidTr="0010095E">
        <w:tblPrEx>
          <w:tblW w:w="9072" w:type="dxa"/>
          <w:tblLook w:val="01E0"/>
        </w:tblPrEx>
        <w:trPr>
          <w:trHeight w:hRule="exact" w:val="1418"/>
        </w:trPr>
        <w:tc>
          <w:tcPr>
            <w:tcW w:w="6804" w:type="dxa"/>
            <w:shd w:val="clear" w:color="auto" w:fill="auto"/>
            <w:vAlign w:val="center"/>
          </w:tcPr>
          <w:p w:rsidR="00751A4A" w:rsidRPr="00FC3652" w:rsidP="0010095E" w14:paraId="0A762D40" w14:textId="77777777">
            <w:pPr>
              <w:pStyle w:val="EPName"/>
            </w:pPr>
            <w:r w:rsidRPr="00FC3652">
              <w:t>Eiropas Parlaments</w:t>
            </w:r>
          </w:p>
          <w:p w:rsidR="00751A4A" w:rsidRPr="00FC3652" w:rsidP="005F1B17" w14:paraId="72B2B8DA" w14:textId="77777777">
            <w:pPr>
              <w:pStyle w:val="EPTerm"/>
              <w:rPr>
                <w:rStyle w:val="HideTWBExt"/>
                <w:noProof w:val="0"/>
                <w:vanish w:val="0"/>
                <w:color w:val="auto"/>
              </w:rPr>
            </w:pPr>
            <w:r w:rsidRPr="00FC3652">
              <w:t>2024</w:t>
            </w:r>
            <w:r w:rsidRPr="00FC3652" w:rsidR="00817416">
              <w:t>-202</w:t>
            </w:r>
            <w:r w:rsidRPr="00FC3652">
              <w:t>9</w:t>
            </w:r>
          </w:p>
        </w:tc>
        <w:tc>
          <w:tcPr>
            <w:tcW w:w="2268" w:type="dxa"/>
            <w:shd w:val="clear" w:color="auto" w:fill="auto"/>
          </w:tcPr>
          <w:p w:rsidR="00751A4A" w:rsidRPr="00FC3652" w:rsidP="0010095E" w14:paraId="4D6A83C6" w14:textId="77777777">
            <w:pPr>
              <w:pStyle w:val="EPLogo"/>
            </w:pPr>
            <w:r w:rsidRPr="00FC365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C3652" w:rsidP="004C5D52" w14:paraId="6FF21769" w14:textId="77777777">
      <w:pPr>
        <w:pStyle w:val="LineTop"/>
      </w:pPr>
    </w:p>
    <w:p w:rsidR="00680577" w:rsidRPr="00FC3652" w:rsidP="00680577" w14:paraId="35790D9B" w14:textId="77777777">
      <w:pPr>
        <w:pStyle w:val="EPBodyTA1"/>
      </w:pPr>
      <w:r w:rsidRPr="00FC3652">
        <w:t>PIEŅEMTIE TEKSTI</w:t>
      </w:r>
    </w:p>
    <w:p w:rsidR="00D058B8" w:rsidRPr="00FC3652" w:rsidP="00D058B8" w14:paraId="000BD3E5" w14:textId="77777777">
      <w:pPr>
        <w:pStyle w:val="LineBottom"/>
      </w:pPr>
    </w:p>
    <w:p w:rsidR="004A3615" w:rsidRPr="00FC3652" w:rsidP="004A3615" w14:paraId="60CCB0D6" w14:textId="2F0DCCCD">
      <w:pPr>
        <w:pStyle w:val="ATHeading1"/>
      </w:pPr>
      <w:bookmarkStart w:id="0" w:name="TANumber"/>
      <w:r w:rsidRPr="00FC3652">
        <w:t>P10_TA(2026)0</w:t>
      </w:r>
      <w:bookmarkEnd w:id="0"/>
      <w:r w:rsidRPr="00FC3652" w:rsidR="00FC3652">
        <w:t>232</w:t>
      </w:r>
    </w:p>
    <w:p w:rsidR="004A3615" w:rsidRPr="00FC3652" w:rsidP="002F1AEA" w14:paraId="27A8E7DF" w14:textId="4881F746">
      <w:pPr>
        <w:pStyle w:val="ATHeading2"/>
      </w:pPr>
      <w:r w:rsidRPr="00FC3652">
        <w:rPr>
          <w:bCs/>
        </w:rPr>
        <w:t>Ikgad</w:t>
      </w:r>
      <w:r w:rsidRPr="00FC3652">
        <w:rPr>
          <w:rFonts w:hint="eastAsia"/>
          <w:bCs/>
        </w:rPr>
        <w:t>ē</w:t>
      </w:r>
      <w:r w:rsidRPr="00FC3652">
        <w:rPr>
          <w:bCs/>
        </w:rPr>
        <w:t>j</w:t>
      </w:r>
      <w:r w:rsidRPr="00FC3652">
        <w:rPr>
          <w:rFonts w:hint="eastAsia"/>
          <w:bCs/>
        </w:rPr>
        <w:t>ā</w:t>
      </w:r>
      <w:r w:rsidRPr="00FC3652">
        <w:rPr>
          <w:bCs/>
        </w:rPr>
        <w:t xml:space="preserve"> r</w:t>
      </w:r>
      <w:r w:rsidRPr="00FC3652">
        <w:rPr>
          <w:rFonts w:hint="eastAsia"/>
          <w:bCs/>
        </w:rPr>
        <w:t>ī</w:t>
      </w:r>
      <w:r w:rsidRPr="00FC3652">
        <w:rPr>
          <w:bCs/>
        </w:rPr>
        <w:t>c</w:t>
      </w:r>
      <w:r w:rsidRPr="00FC3652">
        <w:rPr>
          <w:rFonts w:hint="eastAsia"/>
          <w:bCs/>
        </w:rPr>
        <w:t>ī</w:t>
      </w:r>
      <w:r w:rsidRPr="00FC3652">
        <w:rPr>
          <w:bCs/>
        </w:rPr>
        <w:t>bas pl</w:t>
      </w:r>
      <w:r w:rsidRPr="00FC3652">
        <w:rPr>
          <w:rFonts w:hint="eastAsia"/>
          <w:bCs/>
        </w:rPr>
        <w:t>ā</w:t>
      </w:r>
      <w:r w:rsidRPr="00FC3652">
        <w:rPr>
          <w:bCs/>
        </w:rPr>
        <w:t>na finans</w:t>
      </w:r>
      <w:r w:rsidRPr="00FC3652">
        <w:rPr>
          <w:rFonts w:hint="eastAsia"/>
          <w:bCs/>
        </w:rPr>
        <w:t>ēš</w:t>
      </w:r>
      <w:r w:rsidRPr="00FC3652">
        <w:rPr>
          <w:bCs/>
        </w:rPr>
        <w:t>ana Tanz</w:t>
      </w:r>
      <w:r w:rsidRPr="00FC3652">
        <w:rPr>
          <w:rFonts w:hint="eastAsia"/>
          <w:bCs/>
        </w:rPr>
        <w:t>ā</w:t>
      </w:r>
      <w:r w:rsidRPr="00FC3652">
        <w:rPr>
          <w:bCs/>
        </w:rPr>
        <w:t>nijas Savienot</w:t>
      </w:r>
      <w:r w:rsidRPr="00FC3652">
        <w:rPr>
          <w:rFonts w:hint="eastAsia"/>
          <w:bCs/>
        </w:rPr>
        <w:t>ā</w:t>
      </w:r>
      <w:r w:rsidRPr="00FC3652">
        <w:rPr>
          <w:bCs/>
        </w:rPr>
        <w:t>s Republikas lab</w:t>
      </w:r>
      <w:r w:rsidRPr="00FC3652">
        <w:rPr>
          <w:rFonts w:hint="eastAsia"/>
          <w:bCs/>
        </w:rPr>
        <w:t>ā</w:t>
      </w:r>
      <w:r w:rsidRPr="00FC3652">
        <w:rPr>
          <w:bCs/>
        </w:rPr>
        <w:t xml:space="preserve"> 2026. gad</w:t>
      </w:r>
      <w:r w:rsidRPr="00FC3652">
        <w:rPr>
          <w:rFonts w:hint="eastAsia"/>
          <w:bCs/>
        </w:rPr>
        <w:t>ā</w:t>
      </w:r>
    </w:p>
    <w:p w:rsidR="004A3615" w:rsidRPr="00FC3652" w:rsidP="004A3615" w14:paraId="15D42D3B" w14:textId="77777777">
      <w:pPr>
        <w:rPr>
          <w:i/>
          <w:vanish/>
        </w:rPr>
      </w:pPr>
      <w:r>
        <w:rPr>
          <w:i/>
        </w:rPr>
        <w:fldChar w:fldCharType="begin"/>
      </w:r>
      <w:r w:rsidRPr="00FC3652">
        <w:rPr>
          <w:i/>
        </w:rPr>
        <w:instrText xml:space="preserve"> TC"(</w:instrText>
      </w:r>
      <w:bookmarkStart w:id="1" w:name="DocNumber"/>
      <w:r w:rsidRPr="00FC3652">
        <w:rPr>
          <w:i/>
        </w:rPr>
        <w:instrText>B10-0273/2026</w:instrText>
      </w:r>
      <w:bookmarkEnd w:id="1"/>
      <w:r w:rsidRPr="00FC3652">
        <w:rPr>
          <w:i/>
        </w:rPr>
        <w:instrText xml:space="preserve">)"\l3 \n&gt; \* MERGEFORMAT </w:instrText>
      </w:r>
      <w:r>
        <w:rPr>
          <w:i/>
        </w:rPr>
        <w:fldChar w:fldCharType="end"/>
      </w:r>
    </w:p>
    <w:p w:rsidR="004A3615" w:rsidRPr="00FC3652" w:rsidP="004A3615" w14:paraId="07D7F466" w14:textId="77777777">
      <w:pPr>
        <w:rPr>
          <w:vanish/>
        </w:rPr>
      </w:pPr>
      <w:bookmarkStart w:id="2" w:name="PE"/>
      <w:r w:rsidRPr="00FC3652">
        <w:rPr>
          <w:vanish/>
        </w:rPr>
        <w:t>PE789.144</w:t>
      </w:r>
      <w:bookmarkEnd w:id="2"/>
    </w:p>
    <w:p w:rsidR="004A3615" w:rsidRPr="00FC3652" w:rsidP="004A3615" w14:paraId="02C796DE" w14:textId="0403C5EA">
      <w:pPr>
        <w:pStyle w:val="ATHeading3"/>
      </w:pPr>
      <w:bookmarkStart w:id="3" w:name="Sujet"/>
      <w:r w:rsidRPr="00FC3652">
        <w:t xml:space="preserve">Eiropas Parlamenta 2026. gada </w:t>
      </w:r>
      <w:r w:rsidRPr="00FC3652" w:rsidR="002F1AEA">
        <w:t>18</w:t>
      </w:r>
      <w:r w:rsidRPr="00FC3652">
        <w:t xml:space="preserve">. </w:t>
      </w:r>
      <w:r w:rsidRPr="00FC3652" w:rsidR="002F1AEA">
        <w:t>jūnija</w:t>
      </w:r>
      <w:r w:rsidRPr="00FC3652">
        <w:t xml:space="preserve"> rezolūcija par projektu Komisijas īstenošanas lēmumam par ikgadējā rīcības plāna finansēšanu Tanzānijas Savienotās Republikas labā 2026. gadā</w:t>
      </w:r>
      <w:bookmarkEnd w:id="3"/>
      <w:r w:rsidRPr="00FC3652">
        <w:t xml:space="preserve"> </w:t>
      </w:r>
      <w:bookmarkStart w:id="4" w:name="References"/>
      <w:r w:rsidRPr="00FC3652">
        <w:t>(D115284/01 – 2026/2749(RSP))</w:t>
      </w:r>
      <w:bookmarkEnd w:id="4"/>
    </w:p>
    <w:p w:rsidR="00646C21" w:rsidRPr="00FC3652" w:rsidP="00646C21" w14:paraId="657D84BD" w14:textId="77777777">
      <w:pPr>
        <w:pStyle w:val="EPComma"/>
      </w:pPr>
      <w:bookmarkStart w:id="5" w:name="TextBodyBegin"/>
      <w:bookmarkEnd w:id="5"/>
      <w:r w:rsidRPr="00FC3652">
        <w:rPr>
          <w:i/>
          <w:iCs/>
        </w:rPr>
        <w:t>Eiropas Parlaments</w:t>
      </w:r>
      <w:r w:rsidRPr="00FC3652">
        <w:t>,</w:t>
      </w:r>
    </w:p>
    <w:p w:rsidR="00646C21" w:rsidRPr="00FC3652" w:rsidP="00646C21" w14:paraId="1B5A4298" w14:textId="77777777">
      <w:pPr>
        <w:pStyle w:val="NormalHanging12a"/>
      </w:pPr>
      <w:r w:rsidRPr="00FC3652">
        <w:t>–</w:t>
      </w:r>
      <w:r w:rsidRPr="00FC3652">
        <w:tab/>
        <w:t>ņemot vērā projektu Komisijas īstenošanas lēmumam par ikgadējā rīcības plāna finansēšanu Tanzānijas Savienotās Republikas labā 2026. gadā (D115284/01),</w:t>
      </w:r>
    </w:p>
    <w:p w:rsidR="00646C21" w:rsidRPr="00FC3652" w:rsidP="00646C21" w14:paraId="70B98553" w14:textId="77777777">
      <w:pPr>
        <w:pStyle w:val="NormalHanging12a"/>
      </w:pPr>
      <w:r w:rsidRPr="00FC3652">
        <w:t>–</w:t>
      </w:r>
      <w:r w:rsidRPr="00FC3652">
        <w:tab/>
        <w:t xml:space="preserve">ņemot vērā Eiropas Parlamenta un Padomes 2021. gada 9. jūnija Regulu (ES) 2021/947, ar ko izveido Kaimiņattiecību, attīstības sadarbības un starptautiskās sadarbības instrumentu “Eiropa pasaulē”, groza un atceļ Eiropas Parlamenta un Padomes Lēmumu Nr. 466/2014/ES un atceļ Eiropas Parlamenta un Padomes Regulu (ES) 2017/1601 un Padomes Regulu (EK, </w:t>
      </w:r>
      <w:r w:rsidRPr="00FC3652">
        <w:rPr>
          <w:i/>
          <w:iCs/>
        </w:rPr>
        <w:t>Euratom</w:t>
      </w:r>
      <w:r w:rsidRPr="00FC3652">
        <w:t>) Nr. 480/2009</w:t>
      </w:r>
      <w:r>
        <w:rPr>
          <w:vertAlign w:val="superscript"/>
        </w:rPr>
        <w:footnoteReference w:id="2"/>
      </w:r>
      <w:r w:rsidRPr="00FC3652">
        <w:t xml:space="preserve"> (NDICI – “Eiropa pasaulē” regula), un jo īpaši tās 25. pantu,</w:t>
      </w:r>
    </w:p>
    <w:p w:rsidR="00646C21" w:rsidRPr="00FC3652" w:rsidP="00646C21" w14:paraId="183CC5A1" w14:textId="77777777">
      <w:pPr>
        <w:pStyle w:val="NormalHanging12a"/>
      </w:pPr>
      <w:r w:rsidRPr="00FC3652">
        <w:t>–</w:t>
      </w:r>
      <w:r w:rsidRPr="00FC3652">
        <w:tab/>
        <w:t>ņemot vērā Regulas (ES) 2021/947 45. pantā noteiktās komitejas 2026. gada 20. maija atzinumu,</w:t>
      </w:r>
    </w:p>
    <w:p w:rsidR="00646C21" w:rsidRPr="00FC3652" w:rsidP="00646C21" w14:paraId="6E766A5B" w14:textId="77777777">
      <w:pPr>
        <w:pStyle w:val="NormalHanging12a"/>
      </w:pPr>
      <w:r w:rsidRPr="00FC3652">
        <w:t>–</w:t>
      </w:r>
      <w:r w:rsidRPr="00FC3652">
        <w:tab/>
        <w:t>ņemot vērā 11. pantu Eiropas Parlamenta un Padomes 2011. gada 16. februāra Regulā (ES) Nr. 182/2011, ar ko nosaka normas un vispārīgus principus par dalībvalstu kontroles mehānismiem, kuri attiecas uz Komisijas īstenošanas pilnvaru izmantošanu</w:t>
      </w:r>
      <w:r>
        <w:rPr>
          <w:vertAlign w:val="superscript"/>
        </w:rPr>
        <w:footnoteReference w:id="3"/>
      </w:r>
      <w:r w:rsidRPr="00FC3652">
        <w:t>,</w:t>
      </w:r>
    </w:p>
    <w:p w:rsidR="00646C21" w:rsidRPr="00FC3652" w:rsidP="00646C21" w14:paraId="4FDB2017" w14:textId="77777777">
      <w:pPr>
        <w:pStyle w:val="NormalHanging12a"/>
      </w:pPr>
      <w:r w:rsidRPr="00FC3652">
        <w:t>–</w:t>
      </w:r>
      <w:r w:rsidRPr="00FC3652">
        <w:tab/>
        <w:t>ņemot vērā Eiropas Parlamenta 2025. gada 27. novembra rezolūciju par projektu Komisijas īstenošanas lēmumam par ikgadējā rīcības plāna finansēšanu Tanzānijas Savienotās Republikas labā 2025. gadā</w:t>
      </w:r>
      <w:r>
        <w:rPr>
          <w:vertAlign w:val="superscript"/>
        </w:rPr>
        <w:footnoteReference w:id="4"/>
      </w:r>
      <w:r w:rsidRPr="00FC3652">
        <w:t>,</w:t>
      </w:r>
    </w:p>
    <w:p w:rsidR="00646C21" w:rsidRPr="00FC3652" w:rsidP="00646C21" w14:paraId="246AF616" w14:textId="77777777">
      <w:pPr>
        <w:pStyle w:val="NormalHanging12a"/>
      </w:pPr>
      <w:r w:rsidRPr="00FC3652">
        <w:t>–</w:t>
      </w:r>
      <w:r w:rsidRPr="00FC3652">
        <w:tab/>
        <w:t xml:space="preserve">ņemot vērā Eiropas Parlamenta 2025. gada 27. novembra rezolūciju par slepkavībām pēc vēlēšanām un cilvēktiesību stāvokļa pasliktināšanos Tanzānijā, tostarp ieslodzītā opozīcijas līdera </w:t>
      </w:r>
      <w:r w:rsidRPr="00FC3652">
        <w:rPr>
          <w:i/>
          <w:iCs/>
        </w:rPr>
        <w:t>Tundu</w:t>
      </w:r>
      <w:r w:rsidRPr="00FC3652">
        <w:rPr>
          <w:i/>
          <w:iCs/>
        </w:rPr>
        <w:t xml:space="preserve"> </w:t>
      </w:r>
      <w:r w:rsidRPr="00FC3652">
        <w:rPr>
          <w:i/>
          <w:iCs/>
        </w:rPr>
        <w:t>Lissu</w:t>
      </w:r>
      <w:r w:rsidRPr="00FC3652">
        <w:t xml:space="preserve"> lietu,</w:t>
      </w:r>
    </w:p>
    <w:p w:rsidR="00646C21" w:rsidRPr="00FC3652" w:rsidP="00646C21" w14:paraId="366F7AC4" w14:textId="77777777">
      <w:pPr>
        <w:pStyle w:val="NormalHanging12a"/>
      </w:pPr>
      <w:r w:rsidRPr="00FC3652">
        <w:t>–</w:t>
      </w:r>
      <w:r w:rsidRPr="00FC3652">
        <w:tab/>
        <w:t xml:space="preserve">ņemot vērā Eiropas Parlamenta 2025. gada 8. maija rezolūciju par Tanzānijas opozīcijas lielākās partijas </w:t>
      </w:r>
      <w:r w:rsidRPr="00FC3652">
        <w:rPr>
          <w:i/>
          <w:iCs/>
        </w:rPr>
        <w:t>“</w:t>
      </w:r>
      <w:r w:rsidRPr="00FC3652">
        <w:rPr>
          <w:i/>
          <w:iCs/>
        </w:rPr>
        <w:t>Chadema</w:t>
      </w:r>
      <w:r w:rsidRPr="00FC3652">
        <w:rPr>
          <w:i/>
          <w:iCs/>
        </w:rPr>
        <w:t>”</w:t>
      </w:r>
      <w:r w:rsidRPr="00FC3652">
        <w:t xml:space="preserve"> priekšsēdētāja </w:t>
      </w:r>
      <w:r w:rsidRPr="00FC3652">
        <w:rPr>
          <w:i/>
          <w:iCs/>
        </w:rPr>
        <w:t>Tundu</w:t>
      </w:r>
      <w:r w:rsidRPr="00FC3652">
        <w:rPr>
          <w:i/>
          <w:iCs/>
        </w:rPr>
        <w:t xml:space="preserve"> </w:t>
      </w:r>
      <w:r w:rsidRPr="00FC3652">
        <w:rPr>
          <w:i/>
          <w:iCs/>
        </w:rPr>
        <w:t>Lissu</w:t>
      </w:r>
      <w:r w:rsidRPr="00FC3652">
        <w:t xml:space="preserve"> apcietināšanu un iespējamo </w:t>
      </w:r>
      <w:r w:rsidRPr="00FC3652">
        <w:t>sodīšanu ar nāvi,</w:t>
      </w:r>
    </w:p>
    <w:p w:rsidR="00646C21" w:rsidRPr="00FC3652" w:rsidP="00646C21" w14:paraId="6DC583B2" w14:textId="77777777">
      <w:pPr>
        <w:pStyle w:val="NormalHanging12a"/>
      </w:pPr>
      <w:r w:rsidRPr="00FC3652">
        <w:t>–</w:t>
      </w:r>
      <w:r w:rsidRPr="00FC3652">
        <w:tab/>
        <w:t>ņemot vērā Reglamenta 115. panta 2. un 3. punktu,</w:t>
      </w:r>
    </w:p>
    <w:p w:rsidR="00646C21" w:rsidRPr="00FC3652" w:rsidP="00646C21" w14:paraId="4D5A4357" w14:textId="77777777">
      <w:pPr>
        <w:pStyle w:val="NormalHanging12a"/>
      </w:pPr>
      <w:r w:rsidRPr="00FC3652">
        <w:t>–</w:t>
      </w:r>
      <w:r w:rsidRPr="00FC3652">
        <w:tab/>
        <w:t>ņemot vērā Ārlietu komitejas un Attīstības komitejas kopīgās apspriedes saskaņā ar Reglamenta 59. pantu,</w:t>
      </w:r>
    </w:p>
    <w:p w:rsidR="00646C21" w:rsidRPr="00FC3652" w:rsidP="00646C21" w14:paraId="1AD64E3A" w14:textId="77777777">
      <w:pPr>
        <w:pStyle w:val="NormalHanging12a"/>
      </w:pPr>
      <w:r w:rsidRPr="00FC3652">
        <w:t>–</w:t>
      </w:r>
      <w:r w:rsidRPr="00FC3652">
        <w:tab/>
        <w:t>ņemot vērā Ārlietu komitejas un Attīstības komitejas rezolūcijas priekšlikumu,</w:t>
      </w:r>
    </w:p>
    <w:p w:rsidR="00646C21" w:rsidRPr="00FC3652" w:rsidP="00646C21" w14:paraId="2A83D6F2" w14:textId="77777777">
      <w:pPr>
        <w:pStyle w:val="NormalHanging12a"/>
      </w:pPr>
      <w:r w:rsidRPr="00FC3652">
        <w:t>A.</w:t>
      </w:r>
      <w:r w:rsidRPr="00FC3652">
        <w:tab/>
        <w:t>tā kā 2025. gada novembrī Eiropas Parlamenta pausto bažu dēļ Komisija apturēja procesu attiecībā uz to, lai pieņemtu īstenošanas lēmuma projektu par 2025. gada rīcības plāna finansēšanu Tanzānijas Savienotās Republikas labā;</w:t>
      </w:r>
    </w:p>
    <w:p w:rsidR="00646C21" w:rsidRPr="00FC3652" w:rsidP="00646C21" w14:paraId="1ED9CD85" w14:textId="77777777">
      <w:pPr>
        <w:pStyle w:val="NormalHanging12a"/>
      </w:pPr>
      <w:r w:rsidRPr="00FC3652">
        <w:t>B.</w:t>
      </w:r>
      <w:r w:rsidRPr="00FC3652">
        <w:tab/>
        <w:t>tā kā 2026. gada 20. maijā NDICI komitejai tika iesniegts pārskatīts Komisijas īstenošanas lēmuma projekts;</w:t>
      </w:r>
    </w:p>
    <w:p w:rsidR="00646C21" w:rsidRPr="00FC3652" w:rsidP="00646C21" w14:paraId="24AE255C" w14:textId="77777777">
      <w:pPr>
        <w:pStyle w:val="NormalHanging12a"/>
      </w:pPr>
      <w:r w:rsidRPr="00FC3652">
        <w:t>C.</w:t>
      </w:r>
      <w:r w:rsidRPr="00FC3652">
        <w:tab/>
        <w:t>tā kā pārskatītajā Komisijas īstenošanas lēmuma projektā ir saglabāta tāda pati kopējā summa un kopumā tās pašas darbības kā iepriekšējā lēmuma projektā, vienlaikus ierosinot, ka īstenošanai galvenokārt būtu jānotiek, izmantojot netiešu pārvaldību, nevis tiešu budžeta atbalstu Tanzānijas iestādēm;</w:t>
      </w:r>
    </w:p>
    <w:p w:rsidR="00646C21" w:rsidRPr="00FC3652" w:rsidP="00646C21" w14:paraId="47DBFD2F" w14:textId="77777777">
      <w:pPr>
        <w:pStyle w:val="NormalHanging12a"/>
      </w:pPr>
      <w:r w:rsidRPr="00FC3652">
        <w:t>D.</w:t>
      </w:r>
      <w:r w:rsidRPr="00FC3652">
        <w:tab/>
        <w:t xml:space="preserve">tā kā Tanzānijas nacionālā izmeklēšanas komisija, kas izmeklē vardarbību saistībā ar 2025. gada 29. oktobra vēlēšanām, 2026. gada 23. aprīlī atzina, ka vismaz 518 cilvēki ir gājuši bojā, bet neidentificēja atbildīgās personas, tādējādi kavējot </w:t>
      </w:r>
      <w:r w:rsidRPr="00FC3652">
        <w:t>pārskatatbildību</w:t>
      </w:r>
      <w:r w:rsidRPr="00FC3652">
        <w:t xml:space="preserve"> un taisnīguma nodrošināšanu cietušajiem, un savus konstatējumus nepubliskoja; </w:t>
      </w:r>
    </w:p>
    <w:p w:rsidR="00646C21" w:rsidRPr="00FC3652" w:rsidP="00646C21" w14:paraId="5D8CC7D8" w14:textId="77777777">
      <w:pPr>
        <w:pStyle w:val="NormalHanging12a"/>
      </w:pPr>
      <w:r w:rsidRPr="00FC3652">
        <w:t>E.</w:t>
      </w:r>
      <w:r w:rsidRPr="00FC3652">
        <w:tab/>
        <w:t>tā kā Tanzānijas iestādes atteica vizīti Eiropas Parlamenta Cilvēktiesību apakškomitejas delegācijai 2026. gada maijā;</w:t>
      </w:r>
    </w:p>
    <w:p w:rsidR="00646C21" w:rsidRPr="00FC3652" w:rsidP="00646C21" w14:paraId="7CDB8627" w14:textId="77777777">
      <w:pPr>
        <w:pStyle w:val="NormalHanging12a"/>
      </w:pPr>
      <w:r w:rsidRPr="00FC3652">
        <w:t>F.</w:t>
      </w:r>
      <w:r w:rsidRPr="00FC3652">
        <w:tab/>
        <w:t xml:space="preserve">tā kā Tanzānijas galvenās opozīcijas partijas </w:t>
      </w:r>
      <w:r w:rsidRPr="00FC3652">
        <w:rPr>
          <w:i/>
          <w:iCs/>
        </w:rPr>
        <w:t>“</w:t>
      </w:r>
      <w:r w:rsidRPr="00FC3652">
        <w:rPr>
          <w:i/>
          <w:iCs/>
        </w:rPr>
        <w:t>Chadema</w:t>
      </w:r>
      <w:r w:rsidRPr="00FC3652">
        <w:rPr>
          <w:i/>
          <w:iCs/>
        </w:rPr>
        <w:t>”</w:t>
      </w:r>
      <w:r w:rsidRPr="00FC3652">
        <w:t xml:space="preserve"> līderis </w:t>
      </w:r>
      <w:r w:rsidRPr="00FC3652">
        <w:rPr>
          <w:i/>
          <w:iCs/>
        </w:rPr>
        <w:t>Tundu</w:t>
      </w:r>
      <w:r w:rsidRPr="00FC3652">
        <w:rPr>
          <w:i/>
          <w:iCs/>
        </w:rPr>
        <w:t xml:space="preserve"> </w:t>
      </w:r>
      <w:r w:rsidRPr="00FC3652">
        <w:rPr>
          <w:i/>
          <w:iCs/>
        </w:rPr>
        <w:t>Lissu</w:t>
      </w:r>
      <w:r w:rsidRPr="00FC3652">
        <w:t xml:space="preserve"> ir aizturēts jau vairāk nekā gadu un viņam ir izvirzītas politiski motivētas apsūdzības, par ko paredzētas smagas juridiskas sekas, tostarp nāvessods;</w:t>
      </w:r>
    </w:p>
    <w:p w:rsidR="00646C21" w:rsidRPr="00FC3652" w:rsidP="00646C21" w14:paraId="0CB67A76" w14:textId="77777777">
      <w:pPr>
        <w:pStyle w:val="NormalHanging12a"/>
      </w:pPr>
      <w:r w:rsidRPr="00FC3652">
        <w:t>G.</w:t>
      </w:r>
      <w:r w:rsidRPr="00FC3652">
        <w:tab/>
        <w:t xml:space="preserve">tā kā Tanzānijas valdība nav izpildījusi nevienu no prasībām, ko Eiropas Parlaments izvirzīja 2025. gada 8. maija un 27. novembra rezolūcijās, cita starpā aicinot nekavējoties un bez nosacījumiem atbrīvot opozīcijas locekļus, uzlabot cilvēktiesību situāciju un izveidot neatkarīgu un objektīvu starptautisku izmeklēšanas komisiju, lai izmeklētu </w:t>
      </w:r>
      <w:r w:rsidRPr="00FC3652">
        <w:t>pēcvēlēšanu</w:t>
      </w:r>
      <w:r w:rsidRPr="00FC3652">
        <w:t xml:space="preserve"> vardarbību;</w:t>
      </w:r>
    </w:p>
    <w:p w:rsidR="00646C21" w:rsidRPr="00FC3652" w:rsidP="00646C21" w14:paraId="4F84B0BF" w14:textId="77777777">
      <w:pPr>
        <w:pStyle w:val="NormalHanging12a"/>
      </w:pPr>
      <w:r w:rsidRPr="00FC3652">
        <w:t>H.</w:t>
      </w:r>
      <w:r w:rsidRPr="00FC3652">
        <w:tab/>
        <w:t>tā kā Komisija un Eiropas Ārējās darbības dienests nav spējuši efektīvi pierādīt, ka tie ir novērsuši reālās bažas, kuru dēļ 2025. gada novembrī tika izteikts noraidījums;</w:t>
      </w:r>
    </w:p>
    <w:p w:rsidR="00646C21" w:rsidRPr="00FC3652" w:rsidP="00646C21" w14:paraId="307D6BD9" w14:textId="54680234">
      <w:pPr>
        <w:pStyle w:val="NormalHanging12a"/>
      </w:pPr>
      <w:r w:rsidRPr="00FC3652">
        <w:t>1.</w:t>
      </w:r>
      <w:r w:rsidRPr="00FC3652">
        <w:tab/>
        <w:t>uzskata, ka Komisijas īstenošanas lēmuma projekts pārsniedz Regulā (ES) 2021/947 paredzētās īstenošanas pilnvaras;</w:t>
      </w:r>
    </w:p>
    <w:p w:rsidR="00646C21" w:rsidRPr="00FC3652" w:rsidP="00646C21" w14:paraId="569F4337" w14:textId="35296E51">
      <w:pPr>
        <w:pStyle w:val="NormalHanging12a"/>
      </w:pPr>
      <w:r w:rsidRPr="00FC3652">
        <w:t>2.</w:t>
      </w:r>
      <w:r w:rsidRPr="00FC3652">
        <w:tab/>
        <w:t>uzskata, ka Komisijas īstenošanas lēmuma projekts neatbilst Savienības tiesību aktiem, jo tas nav saderīgs ar Regulas (ES) 2021/947 mērķi;</w:t>
      </w:r>
    </w:p>
    <w:p w:rsidR="00646C21" w:rsidRPr="00FC3652" w:rsidP="00646C21" w14:paraId="36E27796" w14:textId="77777777">
      <w:pPr>
        <w:pStyle w:val="NormalHanging12a"/>
      </w:pPr>
      <w:r w:rsidRPr="00FC3652">
        <w:t>3.</w:t>
      </w:r>
      <w:r w:rsidRPr="00FC3652">
        <w:tab/>
        <w:t>uzskata, ka Komisijas īstenošanas lēmuma projektā nav pienācīgi ņemtas vērā bažas, ko Eiropas Parlaments pauda 2025. gada 27. novembra rezolūcijā;</w:t>
      </w:r>
    </w:p>
    <w:p w:rsidR="00646C21" w:rsidRPr="00FC3652" w:rsidP="00646C21" w14:paraId="291290D5" w14:textId="77777777">
      <w:pPr>
        <w:pStyle w:val="NormalHanging12a"/>
      </w:pPr>
      <w:r w:rsidRPr="00FC3652">
        <w:t>4.</w:t>
      </w:r>
      <w:r w:rsidRPr="00FC3652">
        <w:tab/>
        <w:t xml:space="preserve">pauž nožēlu par to, ka Komisija atkal neapturēja īstenošanas lēmuma projekta </w:t>
      </w:r>
      <w:r w:rsidRPr="00FC3652">
        <w:t>pieņemšanas procesu pēc tam, kad tika informēta par Eiropas Parlamenta paustajām bažām; pauž nožēlu par to, ka Komisija un EĀDD nav ņēmuši vērā bažas, ko Eiropas Parlaments paudis rezolūcijās par Tanzāniju;</w:t>
      </w:r>
    </w:p>
    <w:p w:rsidR="00646C21" w:rsidRPr="00FC3652" w:rsidP="00646C21" w14:paraId="484AFEF7" w14:textId="77777777">
      <w:pPr>
        <w:pStyle w:val="NormalHanging12a"/>
      </w:pPr>
      <w:r w:rsidRPr="00FC3652">
        <w:t>5.</w:t>
      </w:r>
      <w:r w:rsidRPr="00FC3652">
        <w:tab/>
        <w:t>aicina Komisiju atsaukt īstenošanas lēmuma projektu un iesniegt komitejai jaunu projektu, vienlaikus nodrošinot, ka nekādas jaunas izmaiņas negatīvi neietekmē pamatpakalpojumu iekļaujošu sniegšanu iedzīvotājiem, cilvēktiesību un demokrātijas aizsardzību vai atbalstu pilsoniskās sabiedrības organizācijām;</w:t>
      </w:r>
    </w:p>
    <w:p w:rsidR="00B06222" w:rsidRPr="00FC3652" w:rsidP="00B06222" w14:paraId="00241D6E" w14:textId="742781C7">
      <w:pPr>
        <w:pStyle w:val="NormalHanging12a"/>
      </w:pPr>
      <w:r w:rsidRPr="00FC3652">
        <w:t>6.</w:t>
      </w:r>
      <w:r w:rsidRPr="00FC3652">
        <w:tab/>
        <w:t>uzdod priekšsēdētājai šo rezolūciju nosūtīt Padomei un Komisijai, kā arī dalībvalstu valdībām un parlamentiem.</w:t>
      </w:r>
    </w:p>
    <w:p w:rsidR="00E365E1" w:rsidRPr="00FC3652" w:rsidP="004A3615" w14:paraId="60214B1A" w14:textId="6AEF5DB4"/>
    <w:sectPr w:rsidSect="00B0622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6222" w14:paraId="2B9125B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6222" w14:paraId="4931E06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6222" w14:paraId="2A81CEF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A3615" w:rsidRPr="00B06222" w14:paraId="42DB7E52" w14:textId="77777777">
      <w:r w:rsidRPr="00B06222">
        <w:separator/>
      </w:r>
    </w:p>
  </w:footnote>
  <w:footnote w:type="continuationSeparator" w:id="1">
    <w:p w:rsidR="004A3615" w:rsidRPr="00B06222" w14:paraId="3959283B" w14:textId="77777777">
      <w:r w:rsidRPr="00B06222">
        <w:continuationSeparator/>
      </w:r>
    </w:p>
  </w:footnote>
  <w:footnote w:id="2">
    <w:p w:rsidR="00646C21" w:rsidRPr="00B06222" w:rsidP="00B06222" w14:paraId="2D905B33" w14:textId="0F52CECD">
      <w:pPr>
        <w:pStyle w:val="FootnoteText"/>
        <w:ind w:left="567" w:hanging="567"/>
        <w:rPr>
          <w:sz w:val="24"/>
          <w:szCs w:val="24"/>
          <w:lang w:val="lv-LV"/>
        </w:rPr>
      </w:pPr>
      <w:r w:rsidRPr="00B06222">
        <w:rPr>
          <w:rStyle w:val="FootnoteReference"/>
          <w:sz w:val="24"/>
          <w:lang w:val="lv-LV"/>
        </w:rPr>
        <w:footnoteRef/>
      </w:r>
      <w:r w:rsidRPr="00B06222" w:rsidR="00B06222">
        <w:rPr>
          <w:sz w:val="24"/>
          <w:lang w:val="lv-LV"/>
        </w:rPr>
        <w:t xml:space="preserve"> </w:t>
      </w:r>
      <w:r w:rsidRPr="00B06222" w:rsidR="00B06222">
        <w:rPr>
          <w:sz w:val="24"/>
          <w:lang w:val="lv-LV"/>
        </w:rPr>
        <w:tab/>
      </w:r>
      <w:r w:rsidRPr="00B06222">
        <w:rPr>
          <w:sz w:val="24"/>
          <w:lang w:val="lv-LV"/>
        </w:rPr>
        <w:t xml:space="preserve">OV L 209, 14.6.2021., 1. lpp., ELI: </w:t>
      </w:r>
      <w:hyperlink r:id="rId1" w:tgtFrame="http://data.europa.eu/eli/reg/2021/947/oj" w:history="1">
        <w:r w:rsidRPr="00B06222">
          <w:rPr>
            <w:rStyle w:val="Hyperlink"/>
            <w:sz w:val="24"/>
            <w:lang w:val="lv-LV"/>
          </w:rPr>
          <w:t>http://data.europa.eu/eli/reg/2021/947/oj.</w:t>
        </w:r>
      </w:hyperlink>
    </w:p>
  </w:footnote>
  <w:footnote w:id="3">
    <w:p w:rsidR="00646C21" w:rsidRPr="00B06222" w:rsidP="00B06222" w14:paraId="160777D4" w14:textId="46496C17">
      <w:pPr>
        <w:pStyle w:val="FootnoteText"/>
        <w:ind w:left="567" w:hanging="567"/>
        <w:rPr>
          <w:sz w:val="24"/>
          <w:szCs w:val="24"/>
          <w:lang w:val="lv-LV"/>
        </w:rPr>
      </w:pPr>
      <w:r w:rsidRPr="00B06222">
        <w:rPr>
          <w:rStyle w:val="FootnoteReference"/>
          <w:sz w:val="24"/>
          <w:szCs w:val="24"/>
          <w:lang w:val="lv-LV"/>
        </w:rPr>
        <w:footnoteRef/>
      </w:r>
      <w:r w:rsidRPr="00B06222" w:rsidR="00B06222">
        <w:rPr>
          <w:sz w:val="24"/>
          <w:lang w:val="lv-LV"/>
        </w:rPr>
        <w:t xml:space="preserve"> </w:t>
      </w:r>
      <w:r w:rsidRPr="00B06222" w:rsidR="00B06222">
        <w:rPr>
          <w:sz w:val="24"/>
          <w:lang w:val="lv-LV"/>
        </w:rPr>
        <w:tab/>
      </w:r>
      <w:r w:rsidRPr="00B06222">
        <w:rPr>
          <w:sz w:val="24"/>
          <w:lang w:val="lv-LV"/>
        </w:rPr>
        <w:t xml:space="preserve">OV L 55, 28.2.2011., 13. lpp., ELI: </w:t>
      </w:r>
      <w:hyperlink r:id="rId2" w:tooltip="Nodrošina piekļuvi šim dokumentam pēc tā ELI URI." w:history="1">
        <w:r w:rsidRPr="00B06222">
          <w:rPr>
            <w:rStyle w:val="Hyperlink"/>
            <w:sz w:val="24"/>
            <w:lang w:val="lv-LV"/>
          </w:rPr>
          <w:t>http://data.europa.eu/eli/reg/2011/182/oj</w:t>
        </w:r>
      </w:hyperlink>
      <w:r w:rsidRPr="00B06222">
        <w:rPr>
          <w:rStyle w:val="Hyperlink"/>
          <w:sz w:val="24"/>
          <w:lang w:val="lv-LV"/>
        </w:rPr>
        <w:t>.</w:t>
      </w:r>
    </w:p>
  </w:footnote>
  <w:footnote w:id="4">
    <w:p w:rsidR="00646C21" w:rsidRPr="00B06222" w:rsidP="00B06222" w14:paraId="378CB601" w14:textId="11973C42">
      <w:pPr>
        <w:pStyle w:val="FootnoteText"/>
        <w:ind w:left="567" w:hanging="567"/>
        <w:rPr>
          <w:sz w:val="24"/>
          <w:lang w:val="lv-LV"/>
        </w:rPr>
      </w:pPr>
      <w:r w:rsidRPr="00B06222">
        <w:rPr>
          <w:rStyle w:val="FootnoteReference"/>
          <w:sz w:val="24"/>
          <w:szCs w:val="24"/>
          <w:lang w:val="lv-LV"/>
        </w:rPr>
        <w:footnoteRef/>
      </w:r>
      <w:r w:rsidRPr="00B06222" w:rsidR="00B06222">
        <w:rPr>
          <w:sz w:val="24"/>
          <w:lang w:val="lv-LV"/>
        </w:rPr>
        <w:t xml:space="preserve"> </w:t>
      </w:r>
      <w:r w:rsidRPr="00B06222" w:rsidR="00B06222">
        <w:rPr>
          <w:sz w:val="24"/>
          <w:lang w:val="lv-LV"/>
        </w:rPr>
        <w:tab/>
      </w:r>
      <w:r w:rsidRPr="00B06222">
        <w:rPr>
          <w:sz w:val="24"/>
          <w:lang w:val="lv-LV"/>
        </w:rPr>
        <w:t>Pieņemtie teksti, P10_TA(2025)0314.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6222" w14:paraId="5790629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6222" w14:paraId="1DA1EB6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B06222" w14:paraId="7BDC969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9255029">
    <w:abstractNumId w:val="9"/>
  </w:num>
  <w:num w:numId="2" w16cid:durableId="727849249">
    <w:abstractNumId w:val="9"/>
  </w:num>
  <w:num w:numId="3" w16cid:durableId="1115060966">
    <w:abstractNumId w:val="7"/>
  </w:num>
  <w:num w:numId="4" w16cid:durableId="1711149245">
    <w:abstractNumId w:val="7"/>
  </w:num>
  <w:num w:numId="5" w16cid:durableId="1549369314">
    <w:abstractNumId w:val="6"/>
  </w:num>
  <w:num w:numId="6" w16cid:durableId="18357245">
    <w:abstractNumId w:val="6"/>
  </w:num>
  <w:num w:numId="7" w16cid:durableId="1250700534">
    <w:abstractNumId w:val="5"/>
  </w:num>
  <w:num w:numId="8" w16cid:durableId="712651556">
    <w:abstractNumId w:val="5"/>
  </w:num>
  <w:num w:numId="9" w16cid:durableId="1402094634">
    <w:abstractNumId w:val="4"/>
  </w:num>
  <w:num w:numId="10" w16cid:durableId="301278386">
    <w:abstractNumId w:val="4"/>
  </w:num>
  <w:num w:numId="11" w16cid:durableId="660812724">
    <w:abstractNumId w:val="8"/>
  </w:num>
  <w:num w:numId="12" w16cid:durableId="438720386">
    <w:abstractNumId w:val="8"/>
  </w:num>
  <w:num w:numId="13" w16cid:durableId="230360075">
    <w:abstractNumId w:val="3"/>
  </w:num>
  <w:num w:numId="14" w16cid:durableId="492529363">
    <w:abstractNumId w:val="3"/>
  </w:num>
  <w:num w:numId="15" w16cid:durableId="1842818420">
    <w:abstractNumId w:val="2"/>
  </w:num>
  <w:num w:numId="16" w16cid:durableId="378286545">
    <w:abstractNumId w:val="2"/>
  </w:num>
  <w:num w:numId="17" w16cid:durableId="1676616073">
    <w:abstractNumId w:val="1"/>
  </w:num>
  <w:num w:numId="18" w16cid:durableId="831333328">
    <w:abstractNumId w:val="1"/>
  </w:num>
  <w:num w:numId="19" w16cid:durableId="1422264594">
    <w:abstractNumId w:val="0"/>
  </w:num>
  <w:num w:numId="20" w16cid:durableId="954098203">
    <w:abstractNumId w:val="0"/>
  </w:num>
  <w:num w:numId="21" w16cid:durableId="1556433866">
    <w:abstractNumId w:val="9"/>
  </w:num>
  <w:num w:numId="22" w16cid:durableId="1545561471">
    <w:abstractNumId w:val="7"/>
  </w:num>
  <w:num w:numId="23" w16cid:durableId="1607158140">
    <w:abstractNumId w:val="6"/>
  </w:num>
  <w:num w:numId="24" w16cid:durableId="1621955762">
    <w:abstractNumId w:val="5"/>
  </w:num>
  <w:num w:numId="25" w16cid:durableId="1352611881">
    <w:abstractNumId w:val="4"/>
  </w:num>
  <w:num w:numId="26" w16cid:durableId="1890410729">
    <w:abstractNumId w:val="8"/>
  </w:num>
  <w:num w:numId="27" w16cid:durableId="992754840">
    <w:abstractNumId w:val="3"/>
  </w:num>
  <w:num w:numId="28" w16cid:durableId="417140874">
    <w:abstractNumId w:val="2"/>
  </w:num>
  <w:num w:numId="29" w16cid:durableId="1987854432">
    <w:abstractNumId w:val="1"/>
  </w:num>
  <w:num w:numId="30" w16cid:durableId="608320590">
    <w:abstractNumId w:val="0"/>
  </w:num>
  <w:num w:numId="31" w16cid:durableId="672756595">
    <w:abstractNumId w:val="9"/>
  </w:num>
  <w:num w:numId="32" w16cid:durableId="1038360584">
    <w:abstractNumId w:val="7"/>
  </w:num>
  <w:num w:numId="33" w16cid:durableId="1897426099">
    <w:abstractNumId w:val="6"/>
  </w:num>
  <w:num w:numId="34" w16cid:durableId="1224951303">
    <w:abstractNumId w:val="5"/>
  </w:num>
  <w:num w:numId="35" w16cid:durableId="2048724881">
    <w:abstractNumId w:val="4"/>
  </w:num>
  <w:num w:numId="36" w16cid:durableId="1550143257">
    <w:abstractNumId w:val="8"/>
  </w:num>
  <w:num w:numId="37" w16cid:durableId="2051686694">
    <w:abstractNumId w:val="3"/>
  </w:num>
  <w:num w:numId="38" w16cid:durableId="933336">
    <w:abstractNumId w:val="2"/>
  </w:num>
  <w:num w:numId="39" w16cid:durableId="1918320285">
    <w:abstractNumId w:val="1"/>
  </w:num>
  <w:num w:numId="40" w16cid:durableId="1696728414">
    <w:abstractNumId w:val="0"/>
  </w:num>
  <w:num w:numId="41" w16cid:durableId="720440209">
    <w:abstractNumId w:val="10"/>
  </w:num>
  <w:num w:numId="42" w16cid:durableId="607734709">
    <w:abstractNumId w:val="10"/>
  </w:num>
  <w:num w:numId="43" w16cid:durableId="2115401379">
    <w:abstractNumId w:val="10"/>
  </w:num>
  <w:num w:numId="44" w16cid:durableId="10502287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615"/>
    <w:rsid w:val="00002272"/>
    <w:rsid w:val="00064002"/>
    <w:rsid w:val="000677B9"/>
    <w:rsid w:val="000831BA"/>
    <w:rsid w:val="000A42CC"/>
    <w:rsid w:val="000E7DD9"/>
    <w:rsid w:val="0010095E"/>
    <w:rsid w:val="00125B37"/>
    <w:rsid w:val="00187494"/>
    <w:rsid w:val="001F137D"/>
    <w:rsid w:val="001F32AE"/>
    <w:rsid w:val="002767FF"/>
    <w:rsid w:val="002B18FE"/>
    <w:rsid w:val="002B5493"/>
    <w:rsid w:val="002F1AEA"/>
    <w:rsid w:val="0030796F"/>
    <w:rsid w:val="00343214"/>
    <w:rsid w:val="00361C00"/>
    <w:rsid w:val="00395FA1"/>
    <w:rsid w:val="003E15D4"/>
    <w:rsid w:val="00411CCE"/>
    <w:rsid w:val="0041666E"/>
    <w:rsid w:val="00421060"/>
    <w:rsid w:val="00471C19"/>
    <w:rsid w:val="004867E3"/>
    <w:rsid w:val="00494A28"/>
    <w:rsid w:val="004A3615"/>
    <w:rsid w:val="004C0004"/>
    <w:rsid w:val="004C5D52"/>
    <w:rsid w:val="0050519A"/>
    <w:rsid w:val="005072A1"/>
    <w:rsid w:val="00514517"/>
    <w:rsid w:val="00545827"/>
    <w:rsid w:val="00560270"/>
    <w:rsid w:val="005C2568"/>
    <w:rsid w:val="005F1B17"/>
    <w:rsid w:val="006037C0"/>
    <w:rsid w:val="00646C21"/>
    <w:rsid w:val="006631B6"/>
    <w:rsid w:val="0067060D"/>
    <w:rsid w:val="00680577"/>
    <w:rsid w:val="006F74FA"/>
    <w:rsid w:val="00731ADD"/>
    <w:rsid w:val="00734777"/>
    <w:rsid w:val="00747932"/>
    <w:rsid w:val="00751A4A"/>
    <w:rsid w:val="00756632"/>
    <w:rsid w:val="00762C74"/>
    <w:rsid w:val="00786EC0"/>
    <w:rsid w:val="007D1690"/>
    <w:rsid w:val="007E22AD"/>
    <w:rsid w:val="007E6161"/>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22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3652"/>
    <w:rsid w:val="00FD0C70"/>
  </w:rsids>
  <w:docVars>
    <w:docVar w:name="dvdocse" w:val="B10-0273/2026"/>
    <w:docVar w:name="dvlangue" w:val="LV"/>
    <w:docVar w:name="dvnumam" w:val="0"/>
    <w:docVar w:name="dvpe" w:val="789.144"/>
    <w:docVar w:name="dvtitre" w:val="Eiropas Parlamenta 2026. gada XX. XXX  rezolūcija par projektu Komisijas īstenošanas lēmumam par ikgadējā rīcības plāna finansēšanu Tanzānijas Savienotās Republikas labā 2026. gadā(D115284/01 – 2026/274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E728BAB"/>
  <w15:chartTrackingRefBased/>
  <w15:docId w15:val="{7580AE2F-2120-4C7E-9C3C-DCC429E99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46C21"/>
    <w:pPr>
      <w:spacing w:before="480" w:after="240"/>
    </w:pPr>
  </w:style>
  <w:style w:type="paragraph" w:customStyle="1" w:styleId="NormalHanging12a">
    <w:name w:val="NormalHanging12a"/>
    <w:basedOn w:val="Normal"/>
    <w:rsid w:val="00646C21"/>
    <w:pPr>
      <w:spacing w:after="240"/>
      <w:ind w:left="567" w:hanging="567"/>
    </w:pPr>
  </w:style>
  <w:style w:type="paragraph" w:customStyle="1" w:styleId="NormalBold">
    <w:name w:val="NormalBold"/>
    <w:basedOn w:val="Normal"/>
    <w:rsid w:val="00646C21"/>
    <w:rPr>
      <w:b/>
    </w:rPr>
  </w:style>
  <w:style w:type="character" w:styleId="Hyperlink">
    <w:name w:val="Hyperlink"/>
    <w:basedOn w:val="DefaultParagraphFont"/>
    <w:rsid w:val="00646C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2" Type="http://schemas.openxmlformats.org/officeDocument/2006/relationships/hyperlink" Target="http://data.europa.eu/eli/reg/2011/1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676</Words>
  <Characters>4537</Characters>
  <Application>Microsoft Office Word</Application>
  <DocSecurity>0</DocSecurity>
  <Lines>137</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2026-07-15T13:21:00Z</dcterms:created>
  <dcterms:modified xsi:type="dcterms:W3CDTF">2026-07-15T13:21:00Z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B10-0273/2026</vt:lpwstr>
  </property>
  <property fmtid="{D5CDD505-2E9C-101B-9397-08002B2CF9AE}" pid="4" name="&lt;Type&gt;">
    <vt:lpwstr>RR</vt:lpwstr>
  </property>
</Properties>
</file>