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E144D1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4687" w:rsidP="0010095E" w14:paraId="50C79EEF" w14:textId="77777777">
            <w:pPr>
              <w:pStyle w:val="EPName"/>
            </w:pPr>
            <w:r w:rsidRPr="00754687">
              <w:t>Parlament Ewropew</w:t>
            </w:r>
          </w:p>
          <w:p w:rsidR="00751A4A" w:rsidRPr="00754687" w:rsidP="005F1B17" w14:paraId="1529068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4687">
              <w:t>2024</w:t>
            </w:r>
            <w:r w:rsidRPr="00754687" w:rsidR="00817416">
              <w:t>-202</w:t>
            </w:r>
            <w:r w:rsidRPr="0075468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54687" w:rsidP="0010095E" w14:paraId="61ED0CE3" w14:textId="77777777">
            <w:pPr>
              <w:pStyle w:val="EPLogo"/>
            </w:pPr>
            <w:r w:rsidRPr="0075468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4687" w:rsidP="004C5D52" w14:paraId="4BDF138C" w14:textId="77777777">
      <w:pPr>
        <w:pStyle w:val="LineTop"/>
      </w:pPr>
    </w:p>
    <w:p w:rsidR="00680577" w:rsidRPr="00754687" w:rsidP="00680577" w14:paraId="47FDBCAC" w14:textId="77777777">
      <w:pPr>
        <w:pStyle w:val="EPBodyTA1"/>
      </w:pPr>
      <w:r w:rsidRPr="00754687">
        <w:t>TESTI ADOTTATI</w:t>
      </w:r>
    </w:p>
    <w:p w:rsidR="00D058B8" w:rsidRPr="00754687" w:rsidP="00D058B8" w14:paraId="6C3BF204" w14:textId="77777777">
      <w:pPr>
        <w:pStyle w:val="LineBottom"/>
      </w:pPr>
    </w:p>
    <w:p w:rsidR="00E248B2" w:rsidRPr="00754687" w:rsidP="00E248B2" w14:paraId="52C073FF" w14:textId="44CF894D">
      <w:pPr>
        <w:pStyle w:val="ATHeading1"/>
      </w:pPr>
      <w:bookmarkStart w:id="0" w:name="TANumber"/>
      <w:r w:rsidRPr="00754687">
        <w:t>P10_TA(2026)0</w:t>
      </w:r>
      <w:r w:rsidR="00533589">
        <w:t>232</w:t>
      </w:r>
      <w:bookmarkEnd w:id="0"/>
    </w:p>
    <w:p w:rsidR="00E248B2" w:rsidRPr="00754687" w:rsidP="001E7D0E" w14:paraId="3C2ED0E2" w14:textId="28F76882">
      <w:pPr>
        <w:pStyle w:val="ATHeading2"/>
      </w:pPr>
      <w:r>
        <w:rPr>
          <w:bCs/>
        </w:rPr>
        <w:t>Il</w:t>
      </w:r>
      <w:r w:rsidRPr="001E7D0E">
        <w:rPr>
          <w:bCs/>
        </w:rPr>
        <w:t>-finanzjament tal-pjan ta’ azzjoni</w:t>
      </w:r>
      <w:r>
        <w:rPr>
          <w:bCs/>
        </w:rPr>
        <w:t xml:space="preserve"> </w:t>
      </w:r>
      <w:r w:rsidRPr="001E7D0E">
        <w:rPr>
          <w:bCs/>
        </w:rPr>
        <w:t>annwali favur ir-Repubblika Magħquda tat-Tanzanija għall-2026</w:t>
      </w:r>
    </w:p>
    <w:p w:rsidR="00E248B2" w:rsidRPr="00754687" w:rsidP="00E248B2" w14:paraId="6B10405F" w14:textId="77777777">
      <w:pPr>
        <w:rPr>
          <w:i/>
          <w:vanish/>
        </w:rPr>
      </w:pPr>
      <w:r>
        <w:rPr>
          <w:i/>
        </w:rPr>
        <w:fldChar w:fldCharType="begin"/>
      </w:r>
      <w:r w:rsidRPr="00754687">
        <w:rPr>
          <w:i/>
        </w:rPr>
        <w:instrText xml:space="preserve"> TC"(</w:instrText>
      </w:r>
      <w:bookmarkStart w:id="1" w:name="DocNumber"/>
      <w:r w:rsidRPr="00754687">
        <w:rPr>
          <w:i/>
        </w:rPr>
        <w:instrText>B10-0273/2026</w:instrText>
      </w:r>
      <w:bookmarkEnd w:id="1"/>
      <w:r w:rsidRPr="0075468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248B2" w:rsidRPr="00754687" w:rsidP="00E248B2" w14:paraId="69826748" w14:textId="77777777">
      <w:pPr>
        <w:rPr>
          <w:vanish/>
        </w:rPr>
      </w:pPr>
      <w:bookmarkStart w:id="2" w:name="PE"/>
      <w:r w:rsidRPr="00754687">
        <w:rPr>
          <w:vanish/>
        </w:rPr>
        <w:t>PE789.144</w:t>
      </w:r>
      <w:bookmarkEnd w:id="2"/>
    </w:p>
    <w:p w:rsidR="00E248B2" w:rsidRPr="00754687" w:rsidP="00E248B2" w14:paraId="4AC12F37" w14:textId="7EBFBA40">
      <w:pPr>
        <w:pStyle w:val="ATHeading3"/>
      </w:pPr>
      <w:bookmarkStart w:id="3" w:name="Sujet"/>
      <w:r w:rsidRPr="00754687">
        <w:t xml:space="preserve">Riżoluzzjoni tal-Parlament Ewropew </w:t>
      </w:r>
      <w:r w:rsidR="001E7D0E">
        <w:t>tat-18 ta’ Ġunju 2</w:t>
      </w:r>
      <w:r w:rsidRPr="00754687">
        <w:t>026 dwar l-abbozz ta’ deċiżjoni ta’ implimentazzjoni tal-Kummissjoni dwar il-finanzjament tal-pjan ta’ azzjoni annwali favur ir-Repubblika Magħquda tat-Tanzanija għall-2026</w:t>
      </w:r>
      <w:bookmarkEnd w:id="3"/>
      <w:r w:rsidRPr="00754687">
        <w:t xml:space="preserve"> </w:t>
      </w:r>
      <w:bookmarkStart w:id="4" w:name="References"/>
      <w:r w:rsidRPr="00754687">
        <w:t>(D115284/01 – 2026/2749(RSP))</w:t>
      </w:r>
      <w:bookmarkEnd w:id="4"/>
    </w:p>
    <w:p w:rsidR="000154AD" w:rsidRPr="00754687" w:rsidP="000154AD" w14:paraId="6776A833" w14:textId="77777777">
      <w:pPr>
        <w:pStyle w:val="EPComma"/>
      </w:pPr>
      <w:bookmarkStart w:id="5" w:name="TextBodyBegin"/>
      <w:bookmarkEnd w:id="5"/>
      <w:r w:rsidRPr="00754687">
        <w:rPr>
          <w:i/>
        </w:rPr>
        <w:t>Il-Parlament Ewropew</w:t>
      </w:r>
      <w:r w:rsidRPr="00754687">
        <w:t>,</w:t>
      </w:r>
    </w:p>
    <w:p w:rsidR="000154AD" w:rsidRPr="00754687" w:rsidP="000154AD" w14:paraId="4E1F9640" w14:textId="77777777">
      <w:pPr>
        <w:pStyle w:val="NormalHanging12a"/>
      </w:pPr>
      <w:r w:rsidRPr="00754687">
        <w:t>–</w:t>
      </w:r>
      <w:r w:rsidRPr="00754687">
        <w:tab/>
        <w:t>wara li kkunsidra l-abbozz ta’ deċiżjoni ta’ implimentazzjoni tal-Kummissjoni dwar il-finanzjament tal-pjan ta’ azzjoni annwali favur ir-Repubblika Magħquda tat-Tanzanija għall-2026 (D115284/01),</w:t>
      </w:r>
    </w:p>
    <w:p w:rsidR="000154AD" w:rsidRPr="00754687" w:rsidP="000154AD" w14:paraId="2CD3FA68" w14:textId="77777777">
      <w:pPr>
        <w:pStyle w:val="NormalHanging12a"/>
      </w:pPr>
      <w:r w:rsidRPr="00754687">
        <w:t>–</w:t>
      </w:r>
      <w:r w:rsidRPr="00754687">
        <w:tab/>
        <w:t>wara li kkunsidra r-Regolament (UE) 2021/947 tal-Parlament Ewropew u tal-Kunsill tad-9 ta’ Ġunju 2021 li jistabbilixxi l-Istrument ta’ Viċinat, ta’ Kooperazzjoni għall-Iżvilupp u ta’ Kooperazzjoni Internazzjonali – Ewropa Globali, li jemenda u li jħassar id-Deċiżjoni Nru 466/2014/UE tal-Parlament Ewropew u tal-Kunsill u li jħassar ir-Regolament (UE) 2017/1601 tal-Parlament Ewropew u tal-Kunsill u r-Regolament tal-Kunsill (KE, Euratom) Nru 480/2009</w:t>
      </w:r>
      <w:r>
        <w:rPr>
          <w:vertAlign w:val="superscript"/>
        </w:rPr>
        <w:footnoteReference w:id="2"/>
      </w:r>
      <w:r w:rsidRPr="00754687">
        <w:t xml:space="preserve"> (ir-Regolament NDICI-Ewropa Globali), u b’mod partikolari l-Artikolu 25 tiegħu,</w:t>
      </w:r>
    </w:p>
    <w:p w:rsidR="000154AD" w:rsidRPr="00754687" w:rsidP="000154AD" w14:paraId="5B3A237F" w14:textId="77777777">
      <w:pPr>
        <w:pStyle w:val="NormalHanging12a"/>
      </w:pPr>
      <w:r w:rsidRPr="00754687">
        <w:t>–</w:t>
      </w:r>
      <w:r w:rsidRPr="00754687">
        <w:tab/>
        <w:t>wara li kkunsidra l-opinjoni mogħtija fl-20 ta’ Mejju 2026 mill-kumitat imsemmi fl-Artikolu 45 tar-Regolament (UE) 2021/947,</w:t>
      </w:r>
    </w:p>
    <w:p w:rsidR="000154AD" w:rsidRPr="00754687" w:rsidP="000154AD" w14:paraId="6070B66C" w14:textId="77777777">
      <w:pPr>
        <w:pStyle w:val="NormalHanging12a"/>
      </w:pPr>
      <w:r w:rsidRPr="00754687">
        <w:t>–</w:t>
      </w:r>
      <w:r w:rsidRPr="00754687">
        <w:tab/>
        <w:t>wara li kkunsidra l-Artikolu 11 tar-Regolament (UE) Nru 182/2011 tal-Parlament Ewropew u tal-Kunsill tas-16 ta’ Frar 2011 li jistabbilixxi r-regoli u l-prinċipji ġenerali dwar il-modalitajiet ta’ kontroll mill-Istati Membri tal-eżerċizzju mill-Kummissjoni tas-setgħat ta’ implimentazzjoni</w:t>
      </w:r>
      <w:r>
        <w:rPr>
          <w:vertAlign w:val="superscript"/>
        </w:rPr>
        <w:footnoteReference w:id="3"/>
      </w:r>
      <w:r w:rsidRPr="00754687">
        <w:t>,</w:t>
      </w:r>
    </w:p>
    <w:p w:rsidR="000154AD" w:rsidRPr="00754687" w:rsidP="000154AD" w14:paraId="5F132DAA" w14:textId="77777777">
      <w:pPr>
        <w:pStyle w:val="NormalHanging12a"/>
      </w:pPr>
      <w:r w:rsidRPr="00754687">
        <w:t>–</w:t>
      </w:r>
      <w:r w:rsidRPr="00754687">
        <w:tab/>
        <w:t>wara li kkunsidra r-riżoluzzjoni tal-Parlament Ewropew tas-27 ta’ Novembru 2025 dwar l-abbozz ta’ deċiżjoni ta’ implimentazzjoni tal-Kummissjoni dwar il-finanzjament tal-</w:t>
      </w:r>
      <w:r w:rsidRPr="00754687">
        <w:t>pjan ta’ azzjoni annwali favur ir-Repubblika Magħquda tat-Tanzanija għall-2025</w:t>
      </w:r>
      <w:r>
        <w:rPr>
          <w:vertAlign w:val="superscript"/>
        </w:rPr>
        <w:footnoteReference w:id="4"/>
      </w:r>
      <w:r w:rsidRPr="00754687">
        <w:t>,</w:t>
      </w:r>
    </w:p>
    <w:p w:rsidR="000154AD" w:rsidRPr="00754687" w:rsidP="000154AD" w14:paraId="7DCBCA31" w14:textId="77777777">
      <w:pPr>
        <w:pStyle w:val="NormalHanging12a"/>
      </w:pPr>
      <w:r w:rsidRPr="00754687">
        <w:t>–</w:t>
      </w:r>
      <w:r w:rsidRPr="00754687">
        <w:tab/>
        <w:t>wara li kkunsidra r-riżoluzzjoni tal-Parlament Ewropew tas-27 ta’ Novembru 2025 dwar il-qtil postelettorali u d-deterjorament tas-sitwazzjoni tad-drittijiet tal-bniedem fit-Tanzanija, inkluż il-każ tal-kap tal-oppożizzjoni inkarċerat Tundu Lissu,</w:t>
      </w:r>
    </w:p>
    <w:p w:rsidR="000154AD" w:rsidRPr="00754687" w:rsidP="000154AD" w14:paraId="0E18A82C" w14:textId="77777777">
      <w:pPr>
        <w:pStyle w:val="NormalHanging12a"/>
      </w:pPr>
      <w:r w:rsidRPr="00754687">
        <w:t>–</w:t>
      </w:r>
      <w:r w:rsidRPr="00754687">
        <w:tab/>
        <w:t>wara li kkunsidra r-riżoluzzjoni tal-Parlament Ewropew tat-8 ta’ Mejju 2025 dwar l-arrest u r-riskju ta’ eżekuzzjoni ta’ Tundu Lissu, President ta’ Chadema, il-partit ewlieni tal-oppożizzjoni fit-Tanzanija,</w:t>
      </w:r>
    </w:p>
    <w:p w:rsidR="000154AD" w:rsidRPr="00754687" w:rsidP="000154AD" w14:paraId="62F868E3" w14:textId="77777777">
      <w:pPr>
        <w:pStyle w:val="NormalHanging12a"/>
      </w:pPr>
      <w:r w:rsidRPr="00754687">
        <w:t>–</w:t>
      </w:r>
      <w:r w:rsidRPr="00754687">
        <w:tab/>
        <w:t>wara li kkunsidra l-Artikolu 115(2) u (3) tar-Regoli ta’ Proċedura tiegħu,</w:t>
      </w:r>
    </w:p>
    <w:p w:rsidR="000154AD" w:rsidRPr="00754687" w:rsidP="000154AD" w14:paraId="6EDCC28D" w14:textId="77777777">
      <w:pPr>
        <w:pStyle w:val="NormalHanging12a"/>
      </w:pPr>
      <w:r w:rsidRPr="00754687">
        <w:t>–</w:t>
      </w:r>
      <w:r w:rsidRPr="00754687">
        <w:tab/>
        <w:t>wara li kkunsidra d-deliberazzjonijiet konġunti tal-Kumitat għall-Affarijiet Barranin u l-Kumitat għall-Iżvilupp skont l-Artikolu 59 tar-Regoli ta’ Proċedura tiegħu,</w:t>
      </w:r>
    </w:p>
    <w:p w:rsidR="000154AD" w:rsidRPr="00754687" w:rsidP="000154AD" w14:paraId="26207F41" w14:textId="77777777">
      <w:pPr>
        <w:pStyle w:val="NormalHanging12a"/>
      </w:pPr>
      <w:r w:rsidRPr="00754687">
        <w:t>–</w:t>
      </w:r>
      <w:r w:rsidRPr="00754687">
        <w:tab/>
        <w:t>wara li kkunsidra l-mozzjoni għal riżoluzzjoni tal-Kumitat għall-Affarijiet Barranin u tal-Kumitat għall-Iżvilupp,</w:t>
      </w:r>
    </w:p>
    <w:p w:rsidR="000154AD" w:rsidRPr="00754687" w:rsidP="000154AD" w14:paraId="47BEA6F9" w14:textId="77777777">
      <w:pPr>
        <w:pStyle w:val="NormalHanging12a"/>
      </w:pPr>
      <w:r w:rsidRPr="00754687">
        <w:t>A.</w:t>
      </w:r>
      <w:r w:rsidRPr="00754687">
        <w:tab/>
        <w:t>billi, f’Novembru 2025, il-Kummissjoni ssospendiet il-proċess għall-adozzjoni tal-abbozz ta’ deċiżjoni ta’ implimentazzjoni dwar il-finanzjament tal-pjan ta’ azzjoni annwali favur ir-Repubblika Magħquda tat-Tanzanija għall-2025 minħabba tħassib espress mill-Parlament Ewropew;</w:t>
      </w:r>
    </w:p>
    <w:p w:rsidR="000154AD" w:rsidRPr="00754687" w:rsidP="000154AD" w14:paraId="7818676F" w14:textId="77777777">
      <w:pPr>
        <w:pStyle w:val="NormalHanging12a"/>
      </w:pPr>
      <w:r w:rsidRPr="00754687">
        <w:t>B.</w:t>
      </w:r>
      <w:r w:rsidRPr="00754687">
        <w:tab/>
        <w:t>billi fl-20 ta’ Mejju 2026, l-abbozz rivedut ta’ deċiżjoni ta’ implimentazzjoni tal-Kummissjoni ġie ppreżentat lill-Kumitat NDICI;</w:t>
      </w:r>
    </w:p>
    <w:p w:rsidR="000154AD" w:rsidRPr="00754687" w:rsidP="000154AD" w14:paraId="5B450A61" w14:textId="77777777">
      <w:pPr>
        <w:pStyle w:val="NormalHanging12a"/>
      </w:pPr>
      <w:r w:rsidRPr="00754687">
        <w:t>C.</w:t>
      </w:r>
      <w:r w:rsidRPr="00754687">
        <w:tab/>
        <w:t>billi l-abbozz rivedut ta’ deċiżjoni ta’ implimentazzjoni tal-Kummissjoni jżomm l-istess ammont globali u b’mod ġenerali l-istess azzjonijiet bħall-abbozz ta’ deċiżjoni preċedenti, filwaqt li jipproponi li l-implimentazzjoni għandha sseħħ prinċipalment permezz ta’ ġestjoni indiretta aktar milli b’appoġġ baġitarju dirett lill-awtoritajiet tat-Tanzanija;</w:t>
      </w:r>
    </w:p>
    <w:p w:rsidR="000154AD" w:rsidRPr="00754687" w:rsidP="000154AD" w14:paraId="02AC0B3A" w14:textId="77777777">
      <w:pPr>
        <w:pStyle w:val="NormalHanging12a"/>
      </w:pPr>
      <w:r w:rsidRPr="00754687">
        <w:t>D.</w:t>
      </w:r>
      <w:r w:rsidRPr="00754687">
        <w:tab/>
        <w:t xml:space="preserve">billi l-kummissjoni nazzjonali ta’ inkjesta tat-Tanzanija li investigat il-vjolenza madwar l-elezzjonijiet tad-29 ta’ Ottubru 2025 irrikonoxxiet fit-23 ta’ April 2026 li mill-inqas 518-il persuna kienu mietu, iżda naqset milli tidentifika lil dawk responsabbli, u b’hekk fixklet l-obbligu ta’ rendikont u l-ġustizzja għall-vittmi, u ma ppubblikatx is-sejbiet tagħha; </w:t>
      </w:r>
    </w:p>
    <w:p w:rsidR="000154AD" w:rsidRPr="00754687" w:rsidP="000154AD" w14:paraId="1D375756" w14:textId="77777777">
      <w:pPr>
        <w:pStyle w:val="NormalHanging12a"/>
      </w:pPr>
      <w:r w:rsidRPr="00754687">
        <w:t>E.</w:t>
      </w:r>
      <w:r w:rsidRPr="00754687">
        <w:tab/>
        <w:t>billi l-awtoritajiet tat-Tanzanija rrifjutaw iż-żjara ta’ delegazzjoni mis-Sottokumitat għad-Drittijiet tal-Bniedem tal-Parlament Ewropew f’Mejju 2026;</w:t>
      </w:r>
    </w:p>
    <w:p w:rsidR="000154AD" w:rsidRPr="00754687" w:rsidP="000154AD" w14:paraId="6F1E389C" w14:textId="77777777">
      <w:pPr>
        <w:pStyle w:val="NormalHanging12a"/>
      </w:pPr>
      <w:r w:rsidRPr="00754687">
        <w:t>F.</w:t>
      </w:r>
      <w:r w:rsidRPr="00754687">
        <w:tab/>
        <w:t>billi Tundu Lissu, mexxej ta’ Chadema, il-partit ewlieni tal-oppożizzjoni tat-Tanzanija, ilu detenut għal aktar minn sena u qed jiffaċċja akkużi politikament motivati b’konsegwenzi legali gravi, inkluża l-piena tal-mewt;</w:t>
      </w:r>
    </w:p>
    <w:p w:rsidR="000154AD" w:rsidRPr="00754687" w:rsidP="000154AD" w14:paraId="756EBC9E" w14:textId="77777777">
      <w:pPr>
        <w:pStyle w:val="NormalHanging12a"/>
      </w:pPr>
      <w:r w:rsidRPr="00754687">
        <w:t>G.</w:t>
      </w:r>
      <w:r w:rsidRPr="00754687">
        <w:tab/>
        <w:t xml:space="preserve">billi l-gvern tat-Tanzanija naqas milli jissodisfa kwalunkwe waħda mit-talbiet imressqa mill-Parlament Ewropew fir-riżoluzzjonijiet tiegħu tat-8 ta’ Mejju u tas-27 ta’ Novembru 2025, inklużi, fost l-oħrajn, talbiet għall-ħelsien immedjat u mingħajr kundizzjonijiet tal-membri tal-oppożizzjoni, għal titjib fis-sitwazzjoni tad-drittijiet tal-bniedem, u għall-istabbiliment ta’ kummissjoni internazzjonali ta’ inkjesta indipendenti </w:t>
      </w:r>
      <w:r w:rsidRPr="00754687">
        <w:t>u imparzjali biex tinvestiga l-vjolenza ta’ wara l-elezzjoni;</w:t>
      </w:r>
    </w:p>
    <w:p w:rsidR="000154AD" w:rsidRPr="00754687" w:rsidP="000154AD" w14:paraId="3446F4A8" w14:textId="77777777">
      <w:pPr>
        <w:pStyle w:val="NormalHanging12a"/>
      </w:pPr>
      <w:r w:rsidRPr="00754687">
        <w:t>H.</w:t>
      </w:r>
      <w:r w:rsidRPr="00754687">
        <w:tab/>
        <w:t>billi l-Kummissjoni u s-Servizz Ewropew għall-Azzjoni Esterna naqsu milli juru b’mod effettiv li kienu indirizzaw it-tħassib reali li wassal għall-oġġezzjoni f’Novembru 2025;</w:t>
      </w:r>
    </w:p>
    <w:p w:rsidR="000154AD" w:rsidRPr="00754687" w:rsidP="000154AD" w14:paraId="2124A33B" w14:textId="6B6CC36F">
      <w:pPr>
        <w:pStyle w:val="NormalHanging12a"/>
      </w:pPr>
      <w:r w:rsidRPr="00754687">
        <w:t>1.</w:t>
      </w:r>
      <w:r w:rsidRPr="00754687">
        <w:tab/>
        <w:t>Iqis li l-abbozz ta’ deċiżjoni ta’ implimentazzjoni tal-Kummissjoni jisboq is-setgħat ta’ implimentazzjoni previsti fir-Regolament (UE) 2021/947;</w:t>
      </w:r>
    </w:p>
    <w:p w:rsidR="000154AD" w:rsidRPr="00754687" w:rsidP="000154AD" w14:paraId="1596CBE1" w14:textId="77777777">
      <w:pPr>
        <w:pStyle w:val="NormalHanging12a"/>
      </w:pPr>
      <w:r w:rsidRPr="00754687">
        <w:t>2.</w:t>
      </w:r>
      <w:r w:rsidRPr="00754687">
        <w:tab/>
        <w:t>Iqis li l-abbozz ta’ deċiżjoni ta’ implimentazzjoni tal-Kummissjoni mhuwiex konsistenti mad-dritt tal-Unjoni, fis-sens li mhuwiex kompatibbli mal-għan tar-Regolament (UE) 2021/947;</w:t>
      </w:r>
    </w:p>
    <w:p w:rsidR="000154AD" w:rsidRPr="00754687" w:rsidP="000154AD" w14:paraId="5518281D" w14:textId="77777777">
      <w:pPr>
        <w:pStyle w:val="NormalHanging12a"/>
      </w:pPr>
      <w:r w:rsidRPr="00754687">
        <w:t>3.</w:t>
      </w:r>
      <w:r w:rsidRPr="00754687">
        <w:tab/>
        <w:t>Iqis li l-abbozz ta’ deċiżjoni ta’ implimentazzjoni tal-Kummissjoni ma jqisx b’mod adegwat it-tħassib espress mill-Parlament Ewropew fir-riżoluzzjoni tiegħu tas-27 ta’ Novembru 2025;</w:t>
      </w:r>
    </w:p>
    <w:p w:rsidR="000154AD" w:rsidRPr="00754687" w:rsidP="000154AD" w14:paraId="1AC7D547" w14:textId="77777777">
      <w:pPr>
        <w:pStyle w:val="NormalHanging12a"/>
      </w:pPr>
      <w:r w:rsidRPr="00754687">
        <w:t>4.</w:t>
      </w:r>
      <w:r w:rsidRPr="00754687">
        <w:tab/>
        <w:t>Jiddispjaċih għall-fatt li l-Kummissjoni, għal darb’oħra, ma ssospendietx il-proċess ta’ adozzjoni tal-abbozz ta’ deċiżjoni ta’ implimentazzjoni meta ġiet infurmata bit-tħassib tal-Parlament Ewropew; jiddeplora n-nuqqas ta’ kunsiderazzjoni muri mill-Kummissjoni u mis-SEAE għat-tħassib espress mill-Parlament Ewropew fir-riżoluzzjonijiet tiegħu relatati mat-Tanzanija;</w:t>
      </w:r>
    </w:p>
    <w:p w:rsidR="000154AD" w:rsidRPr="00754687" w:rsidP="000154AD" w14:paraId="7F4DB81E" w14:textId="77777777">
      <w:pPr>
        <w:pStyle w:val="NormalHanging12a"/>
      </w:pPr>
      <w:r w:rsidRPr="00754687">
        <w:t>5.</w:t>
      </w:r>
      <w:r w:rsidRPr="00754687">
        <w:tab/>
        <w:t>Jistieden lill-Kummissjoni tirtira l-abbozz ta’ deċiżjoni ta’ implimentazzjoni tagħha u tippreżenta abbozz ġdid lill-kumitat, filwaqt li tiżgura li kwalunkwe bidla ġdida ma taffettwax b’mod negattiv il-forniment inklużiv ta’ servizzi bażiċi lill-popolazzjoni, il-protezzjoni tad-drittijiet tal-bniedem u d-demokrazija jew l-appoġġ lill-organizzazzjonijiet tas-soċjetà ċivili;</w:t>
      </w:r>
    </w:p>
    <w:p w:rsidR="00754687" w:rsidRPr="00754687" w:rsidP="00754687" w14:paraId="639D40FF" w14:textId="58C577FA">
      <w:pPr>
        <w:pStyle w:val="NormalHanging12a"/>
      </w:pPr>
      <w:r w:rsidRPr="00754687">
        <w:t>6.</w:t>
      </w:r>
      <w:r w:rsidRPr="00754687">
        <w:tab/>
        <w:t>Jagħti istruzzjonijiet lill-President tiegħu biex tgħaddi din ir-riżoluzzjoni lill-Kunsill u lill-Kummissjoni, kif ukoll lill-gvernijiet u lill-parlamenti tal-Istati Membri.</w:t>
      </w:r>
    </w:p>
    <w:p w:rsidR="00E365E1" w:rsidRPr="00754687" w:rsidP="00E248B2" w14:paraId="7A0575D8" w14:textId="0F855063"/>
    <w:sectPr w:rsidSect="007546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4687" w14:paraId="721962B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4687" w14:paraId="79E1640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4687" w14:paraId="41D6A4B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248B2" w:rsidRPr="00754687" w14:paraId="1768EFEC" w14:textId="77777777">
      <w:r w:rsidRPr="00754687">
        <w:separator/>
      </w:r>
    </w:p>
  </w:footnote>
  <w:footnote w:type="continuationSeparator" w:id="1">
    <w:p w:rsidR="00E248B2" w:rsidRPr="00754687" w14:paraId="4C76F44B" w14:textId="77777777">
      <w:r w:rsidRPr="00754687">
        <w:continuationSeparator/>
      </w:r>
    </w:p>
  </w:footnote>
  <w:footnote w:id="2">
    <w:p w:rsidR="000154AD" w:rsidRPr="00754687" w:rsidP="00754687" w14:paraId="20EE1C8B" w14:textId="3473B5BD">
      <w:pPr>
        <w:pStyle w:val="FootnoteText"/>
        <w:ind w:left="567" w:hanging="567"/>
        <w:rPr>
          <w:sz w:val="24"/>
          <w:szCs w:val="24"/>
          <w:lang w:val="mt-MT"/>
        </w:rPr>
      </w:pPr>
      <w:r w:rsidRPr="00754687">
        <w:rPr>
          <w:rStyle w:val="FootnoteReference"/>
          <w:sz w:val="24"/>
          <w:lang w:val="mt-MT"/>
        </w:rPr>
        <w:footnoteRef/>
      </w:r>
      <w:r w:rsidRPr="00754687" w:rsidR="00754687">
        <w:rPr>
          <w:sz w:val="24"/>
          <w:lang w:val="mt-MT"/>
        </w:rPr>
        <w:t xml:space="preserve"> </w:t>
      </w:r>
      <w:r w:rsidRPr="00754687" w:rsidR="00754687">
        <w:rPr>
          <w:sz w:val="24"/>
          <w:lang w:val="mt-MT"/>
        </w:rPr>
        <w:tab/>
      </w:r>
      <w:r w:rsidRPr="00754687">
        <w:rPr>
          <w:sz w:val="24"/>
          <w:lang w:val="mt-MT"/>
        </w:rPr>
        <w:t xml:space="preserve">ĠU L 209, 14.6.2021, p. 1, ELI: </w:t>
      </w:r>
      <w:hyperlink r:id="rId1" w:tgtFrame="http://data.europa.eu/eli/reg/2021/947/oj" w:history="1">
        <w:r w:rsidRPr="00754687">
          <w:rPr>
            <w:rStyle w:val="Hyperlink"/>
            <w:sz w:val="24"/>
            <w:lang w:val="mt-MT"/>
          </w:rPr>
          <w:t>http://data.europa.eu/eli/reg/2021/947/oj.</w:t>
        </w:r>
      </w:hyperlink>
    </w:p>
  </w:footnote>
  <w:footnote w:id="3">
    <w:p w:rsidR="000154AD" w:rsidRPr="00754687" w:rsidP="00754687" w14:paraId="69C9D34A" w14:textId="188B6953">
      <w:pPr>
        <w:pStyle w:val="FootnoteText"/>
        <w:ind w:left="567" w:hanging="567"/>
        <w:rPr>
          <w:sz w:val="24"/>
          <w:szCs w:val="24"/>
          <w:lang w:val="mt-MT"/>
        </w:rPr>
      </w:pPr>
      <w:r w:rsidRPr="00754687">
        <w:rPr>
          <w:rStyle w:val="FootnoteReference"/>
          <w:sz w:val="24"/>
          <w:szCs w:val="24"/>
          <w:lang w:val="mt-MT"/>
        </w:rPr>
        <w:footnoteRef/>
      </w:r>
      <w:r w:rsidRPr="00754687" w:rsidR="00754687">
        <w:rPr>
          <w:sz w:val="24"/>
          <w:lang w:val="mt-MT"/>
        </w:rPr>
        <w:t xml:space="preserve"> </w:t>
      </w:r>
      <w:r w:rsidRPr="00754687" w:rsidR="00754687">
        <w:rPr>
          <w:sz w:val="24"/>
          <w:lang w:val="mt-MT"/>
        </w:rPr>
        <w:tab/>
      </w:r>
      <w:r w:rsidRPr="00754687">
        <w:rPr>
          <w:sz w:val="24"/>
          <w:lang w:val="mt-MT"/>
        </w:rPr>
        <w:t xml:space="preserve">ĠU L 55, 28.2.2011, p. 13, ELI: </w:t>
      </w:r>
      <w:hyperlink r:id="rId2" w:tooltip="Aċċess għad-dokument permezz tal-URI tal-ELI." w:history="1">
        <w:r w:rsidRPr="00754687">
          <w:rPr>
            <w:rStyle w:val="Hyperlink"/>
            <w:sz w:val="24"/>
            <w:lang w:val="mt-MT"/>
          </w:rPr>
          <w:t>http://data.europa.eu/eli/reg/2011/182/oj</w:t>
        </w:r>
      </w:hyperlink>
      <w:r w:rsidRPr="00754687">
        <w:rPr>
          <w:rStyle w:val="Hyperlink"/>
          <w:sz w:val="24"/>
          <w:lang w:val="mt-MT"/>
        </w:rPr>
        <w:t>.</w:t>
      </w:r>
    </w:p>
  </w:footnote>
  <w:footnote w:id="4">
    <w:p w:rsidR="000154AD" w:rsidRPr="00754687" w:rsidP="00754687" w14:paraId="7EBBB311" w14:textId="539A5201">
      <w:pPr>
        <w:pStyle w:val="FootnoteText"/>
        <w:ind w:left="567" w:hanging="567"/>
        <w:rPr>
          <w:sz w:val="24"/>
          <w:lang w:val="mt-MT"/>
        </w:rPr>
      </w:pPr>
      <w:r w:rsidRPr="00754687">
        <w:rPr>
          <w:rStyle w:val="FootnoteReference"/>
          <w:sz w:val="24"/>
          <w:szCs w:val="24"/>
          <w:lang w:val="mt-MT"/>
        </w:rPr>
        <w:footnoteRef/>
      </w:r>
      <w:r w:rsidRPr="00754687" w:rsidR="00754687">
        <w:rPr>
          <w:sz w:val="24"/>
          <w:lang w:val="mt-MT"/>
        </w:rPr>
        <w:t xml:space="preserve"> </w:t>
      </w:r>
      <w:r w:rsidRPr="00754687" w:rsidR="00754687">
        <w:rPr>
          <w:sz w:val="24"/>
          <w:lang w:val="mt-MT"/>
        </w:rPr>
        <w:tab/>
      </w:r>
      <w:r w:rsidRPr="00754687">
        <w:rPr>
          <w:sz w:val="24"/>
          <w:lang w:val="mt-MT"/>
        </w:rPr>
        <w:t>Testi adottati, P10_TA(2025)0314.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4687" w14:paraId="7740B07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4687" w14:paraId="2EB405C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4687" w14:paraId="64E7013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79795514">
    <w:abstractNumId w:val="9"/>
  </w:num>
  <w:num w:numId="2" w16cid:durableId="1439059812">
    <w:abstractNumId w:val="9"/>
  </w:num>
  <w:num w:numId="3" w16cid:durableId="793061297">
    <w:abstractNumId w:val="7"/>
  </w:num>
  <w:num w:numId="4" w16cid:durableId="1792168774">
    <w:abstractNumId w:val="7"/>
  </w:num>
  <w:num w:numId="5" w16cid:durableId="1972512301">
    <w:abstractNumId w:val="6"/>
  </w:num>
  <w:num w:numId="6" w16cid:durableId="30764875">
    <w:abstractNumId w:val="6"/>
  </w:num>
  <w:num w:numId="7" w16cid:durableId="1636641495">
    <w:abstractNumId w:val="5"/>
  </w:num>
  <w:num w:numId="8" w16cid:durableId="213321001">
    <w:abstractNumId w:val="5"/>
  </w:num>
  <w:num w:numId="9" w16cid:durableId="442768736">
    <w:abstractNumId w:val="4"/>
  </w:num>
  <w:num w:numId="10" w16cid:durableId="1766265770">
    <w:abstractNumId w:val="4"/>
  </w:num>
  <w:num w:numId="11" w16cid:durableId="665977466">
    <w:abstractNumId w:val="8"/>
  </w:num>
  <w:num w:numId="12" w16cid:durableId="631131878">
    <w:abstractNumId w:val="8"/>
  </w:num>
  <w:num w:numId="13" w16cid:durableId="1163005444">
    <w:abstractNumId w:val="3"/>
  </w:num>
  <w:num w:numId="14" w16cid:durableId="647325226">
    <w:abstractNumId w:val="3"/>
  </w:num>
  <w:num w:numId="15" w16cid:durableId="430705238">
    <w:abstractNumId w:val="2"/>
  </w:num>
  <w:num w:numId="16" w16cid:durableId="255139822">
    <w:abstractNumId w:val="2"/>
  </w:num>
  <w:num w:numId="17" w16cid:durableId="323976103">
    <w:abstractNumId w:val="1"/>
  </w:num>
  <w:num w:numId="18" w16cid:durableId="1684358359">
    <w:abstractNumId w:val="1"/>
  </w:num>
  <w:num w:numId="19" w16cid:durableId="1609388883">
    <w:abstractNumId w:val="0"/>
  </w:num>
  <w:num w:numId="20" w16cid:durableId="359863599">
    <w:abstractNumId w:val="0"/>
  </w:num>
  <w:num w:numId="21" w16cid:durableId="95101002">
    <w:abstractNumId w:val="9"/>
  </w:num>
  <w:num w:numId="22" w16cid:durableId="2010978766">
    <w:abstractNumId w:val="7"/>
  </w:num>
  <w:num w:numId="23" w16cid:durableId="653798775">
    <w:abstractNumId w:val="6"/>
  </w:num>
  <w:num w:numId="24" w16cid:durableId="736637147">
    <w:abstractNumId w:val="5"/>
  </w:num>
  <w:num w:numId="25" w16cid:durableId="2062315466">
    <w:abstractNumId w:val="4"/>
  </w:num>
  <w:num w:numId="26" w16cid:durableId="1958290654">
    <w:abstractNumId w:val="8"/>
  </w:num>
  <w:num w:numId="27" w16cid:durableId="1960598907">
    <w:abstractNumId w:val="3"/>
  </w:num>
  <w:num w:numId="28" w16cid:durableId="575407841">
    <w:abstractNumId w:val="2"/>
  </w:num>
  <w:num w:numId="29" w16cid:durableId="805002889">
    <w:abstractNumId w:val="1"/>
  </w:num>
  <w:num w:numId="30" w16cid:durableId="1080105759">
    <w:abstractNumId w:val="0"/>
  </w:num>
  <w:num w:numId="31" w16cid:durableId="1849518883">
    <w:abstractNumId w:val="9"/>
  </w:num>
  <w:num w:numId="32" w16cid:durableId="574630292">
    <w:abstractNumId w:val="7"/>
  </w:num>
  <w:num w:numId="33" w16cid:durableId="1387878886">
    <w:abstractNumId w:val="6"/>
  </w:num>
  <w:num w:numId="34" w16cid:durableId="1816991700">
    <w:abstractNumId w:val="5"/>
  </w:num>
  <w:num w:numId="35" w16cid:durableId="992685199">
    <w:abstractNumId w:val="4"/>
  </w:num>
  <w:num w:numId="36" w16cid:durableId="1100836639">
    <w:abstractNumId w:val="8"/>
  </w:num>
  <w:num w:numId="37" w16cid:durableId="713844113">
    <w:abstractNumId w:val="3"/>
  </w:num>
  <w:num w:numId="38" w16cid:durableId="747963298">
    <w:abstractNumId w:val="2"/>
  </w:num>
  <w:num w:numId="39" w16cid:durableId="2141729422">
    <w:abstractNumId w:val="1"/>
  </w:num>
  <w:num w:numId="40" w16cid:durableId="549805954">
    <w:abstractNumId w:val="0"/>
  </w:num>
  <w:num w:numId="41" w16cid:durableId="1905991256">
    <w:abstractNumId w:val="10"/>
  </w:num>
  <w:num w:numId="42" w16cid:durableId="1012026195">
    <w:abstractNumId w:val="10"/>
  </w:num>
  <w:num w:numId="43" w16cid:durableId="524371055">
    <w:abstractNumId w:val="10"/>
  </w:num>
  <w:num w:numId="44" w16cid:durableId="18638590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B2"/>
    <w:rsid w:val="00002272"/>
    <w:rsid w:val="000154AD"/>
    <w:rsid w:val="00064002"/>
    <w:rsid w:val="000677B9"/>
    <w:rsid w:val="000831BA"/>
    <w:rsid w:val="000A42CC"/>
    <w:rsid w:val="000E7DD9"/>
    <w:rsid w:val="0010095E"/>
    <w:rsid w:val="00125B37"/>
    <w:rsid w:val="00187494"/>
    <w:rsid w:val="001E7D0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589"/>
    <w:rsid w:val="00545827"/>
    <w:rsid w:val="00560270"/>
    <w:rsid w:val="005C2568"/>
    <w:rsid w:val="005F1B17"/>
    <w:rsid w:val="006037C0"/>
    <w:rsid w:val="00633CFB"/>
    <w:rsid w:val="006631B6"/>
    <w:rsid w:val="00680577"/>
    <w:rsid w:val="006F74FA"/>
    <w:rsid w:val="007002A5"/>
    <w:rsid w:val="00731ADD"/>
    <w:rsid w:val="00734777"/>
    <w:rsid w:val="00747932"/>
    <w:rsid w:val="00751A4A"/>
    <w:rsid w:val="00754687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CAA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E0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5F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8B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73/2026"/>
    <w:docVar w:name="dvlangue" w:val="MT"/>
    <w:docVar w:name="dvnumam" w:val="0"/>
    <w:docVar w:name="dvpe" w:val="789.144"/>
    <w:docVar w:name="dvtitre" w:val="Riżoluzzjoni tal-Parlament Ewropew xx xx xxxx 2026 dwar l-abbozz ta’ deċiżjoni ta’ implimentazzjoni tal-Kummissjoni dwar il-finanzjament tal-pjan ta’ azzjoni annwali favur ir-Repubblika Magħquda tat-Tanzanija għall-2026(D115284/01 – 2026/274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C3CA4AF"/>
  <w15:chartTrackingRefBased/>
  <w15:docId w15:val="{C1FA1D09-811B-4C5E-9C44-679905C8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154AD"/>
    <w:pPr>
      <w:spacing w:before="480" w:after="240"/>
    </w:pPr>
  </w:style>
  <w:style w:type="paragraph" w:customStyle="1" w:styleId="NormalHanging12a">
    <w:name w:val="NormalHanging12a"/>
    <w:basedOn w:val="Normal"/>
    <w:rsid w:val="000154AD"/>
    <w:pPr>
      <w:spacing w:after="240"/>
      <w:ind w:left="567" w:hanging="567"/>
    </w:pPr>
  </w:style>
  <w:style w:type="character" w:styleId="Hyperlink">
    <w:name w:val="Hyperlink"/>
    <w:basedOn w:val="DefaultParagraphFont"/>
    <w:rsid w:val="000154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947/oj" TargetMode="External" /><Relationship Id="rId2" Type="http://schemas.openxmlformats.org/officeDocument/2006/relationships/hyperlink" Target="http://data.europa.eu/eli/reg/2011/182/oj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723</Words>
  <Characters>5644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2026-07-16T09:02:00Z</dcterms:created>
  <dcterms:modified xsi:type="dcterms:W3CDTF">2026-07-16T09:02:00Z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B10-0273/2026</vt:lpwstr>
  </property>
  <property fmtid="{D5CDD505-2E9C-101B-9397-08002B2CF9AE}" pid="4" name="&lt;Type&gt;">
    <vt:lpwstr>RR</vt:lpwstr>
  </property>
</Properties>
</file>