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77A688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1F7D" w:rsidP="0010095E" w14:paraId="6254FDBD" w14:textId="77777777">
            <w:pPr>
              <w:pStyle w:val="EPName"/>
            </w:pPr>
            <w:r w:rsidRPr="009F1F7D">
              <w:t>Európsky parlament</w:t>
            </w:r>
          </w:p>
          <w:p w:rsidR="00751A4A" w:rsidRPr="009F1F7D" w:rsidP="005F1B17" w14:paraId="7197391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1F7D">
              <w:t>2024</w:t>
            </w:r>
            <w:r w:rsidRPr="009F1F7D" w:rsidR="00817416">
              <w:t>-202</w:t>
            </w:r>
            <w:r w:rsidRPr="009F1F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F1F7D" w:rsidP="0010095E" w14:paraId="517603BE" w14:textId="77777777">
            <w:pPr>
              <w:pStyle w:val="EPLogo"/>
            </w:pPr>
            <w:r w:rsidRPr="009F1F7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1F7D" w:rsidP="004C5D52" w14:paraId="6E085748" w14:textId="77777777">
      <w:pPr>
        <w:pStyle w:val="LineTop"/>
      </w:pPr>
    </w:p>
    <w:p w:rsidR="00680577" w:rsidRPr="009F1F7D" w:rsidP="00680577" w14:paraId="5109625C" w14:textId="77777777">
      <w:pPr>
        <w:pStyle w:val="EPBodyTA1"/>
      </w:pPr>
      <w:r w:rsidRPr="009F1F7D">
        <w:t>PRIJATÉ TEXTY</w:t>
      </w:r>
    </w:p>
    <w:p w:rsidR="00D058B8" w:rsidRPr="009F1F7D" w:rsidP="00D058B8" w14:paraId="700F5157" w14:textId="77777777">
      <w:pPr>
        <w:pStyle w:val="LineBottom"/>
      </w:pPr>
    </w:p>
    <w:p w:rsidR="00F07820" w:rsidRPr="009F1F7D" w:rsidP="00F07820" w14:paraId="16B0625B" w14:textId="15ADCAD3">
      <w:pPr>
        <w:pStyle w:val="ATHeading1"/>
      </w:pPr>
      <w:bookmarkStart w:id="0" w:name="TANumber"/>
      <w:r w:rsidRPr="009F1F7D">
        <w:t>P10_TA(2026)0</w:t>
      </w:r>
      <w:r w:rsidRPr="009F1F7D" w:rsidR="009F1F7D">
        <w:t>232</w:t>
      </w:r>
      <w:bookmarkEnd w:id="0"/>
    </w:p>
    <w:p w:rsidR="00F07820" w:rsidRPr="009F1F7D" w:rsidP="00F07820" w14:paraId="07B9F855" w14:textId="6CA9B5A5">
      <w:pPr>
        <w:pStyle w:val="ATHeading2"/>
      </w:pPr>
      <w:bookmarkStart w:id="1" w:name="title"/>
      <w:r w:rsidRPr="009F1F7D">
        <w:t>F</w:t>
      </w:r>
      <w:r w:rsidRPr="009F1F7D">
        <w:t>inancovanie ročného akčného plánu v prospech Tanzánijskej zjednotenej republiky na rok 2026</w:t>
      </w:r>
      <w:bookmarkEnd w:id="1"/>
    </w:p>
    <w:p w:rsidR="00F07820" w:rsidRPr="009F1F7D" w:rsidP="00F07820" w14:paraId="04787BFF" w14:textId="77777777">
      <w:pPr>
        <w:rPr>
          <w:i/>
          <w:vanish/>
        </w:rPr>
      </w:pPr>
      <w:r>
        <w:rPr>
          <w:i/>
        </w:rPr>
        <w:fldChar w:fldCharType="begin"/>
      </w:r>
      <w:r w:rsidRPr="009F1F7D">
        <w:rPr>
          <w:i/>
        </w:rPr>
        <w:instrText xml:space="preserve"> TC"(</w:instrText>
      </w:r>
      <w:bookmarkStart w:id="2" w:name="DocNumber"/>
      <w:r w:rsidRPr="009F1F7D">
        <w:rPr>
          <w:i/>
        </w:rPr>
        <w:instrText>B10-0273/2026</w:instrText>
      </w:r>
      <w:bookmarkEnd w:id="2"/>
      <w:r w:rsidRPr="009F1F7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07820" w:rsidRPr="009F1F7D" w:rsidP="00F07820" w14:paraId="1D399212" w14:textId="77777777">
      <w:pPr>
        <w:rPr>
          <w:vanish/>
        </w:rPr>
      </w:pPr>
      <w:bookmarkStart w:id="3" w:name="PE"/>
      <w:r w:rsidRPr="009F1F7D">
        <w:rPr>
          <w:vanish/>
        </w:rPr>
        <w:t>PE789.144</w:t>
      </w:r>
      <w:bookmarkEnd w:id="3"/>
    </w:p>
    <w:p w:rsidR="00F07820" w:rsidRPr="009F1F7D" w:rsidP="00F07820" w14:paraId="44A58B5D" w14:textId="370754E5">
      <w:pPr>
        <w:pStyle w:val="ATHeading3"/>
      </w:pPr>
      <w:bookmarkStart w:id="4" w:name="Sujet"/>
      <w:r w:rsidRPr="009F1F7D">
        <w:t>Uznesenie Európskeho parlamentu z</w:t>
      </w:r>
      <w:r w:rsidRPr="009F1F7D" w:rsidR="00B964A9">
        <w:t> 18. júna</w:t>
      </w:r>
      <w:r w:rsidRPr="009F1F7D">
        <w:t xml:space="preserve"> 2026 o návrhu vykonávacieho rozhodnutia Komisie o financovaní ročného akčného plánu v prospech Tanzánijskej zjednotenej republiky na rok 2026</w:t>
      </w:r>
      <w:bookmarkEnd w:id="4"/>
      <w:r w:rsidRPr="009F1F7D">
        <w:t xml:space="preserve"> </w:t>
      </w:r>
      <w:bookmarkStart w:id="5" w:name="References"/>
      <w:r w:rsidRPr="009F1F7D">
        <w:t>(D115284/01 – 2026/2749(RSP))</w:t>
      </w:r>
      <w:bookmarkEnd w:id="5"/>
    </w:p>
    <w:p w:rsidR="003155DA" w:rsidRPr="009F1F7D" w:rsidP="003155DA" w14:paraId="4C1D9C5D" w14:textId="77777777">
      <w:pPr>
        <w:pStyle w:val="EPComma"/>
      </w:pPr>
      <w:bookmarkStart w:id="6" w:name="TextBodyBegin"/>
      <w:bookmarkEnd w:id="6"/>
      <w:r w:rsidRPr="009F1F7D">
        <w:rPr>
          <w:i/>
          <w:iCs/>
        </w:rPr>
        <w:t>Európsky parlament</w:t>
      </w:r>
      <w:r w:rsidRPr="009F1F7D">
        <w:t>,</w:t>
      </w:r>
    </w:p>
    <w:p w:rsidR="003155DA" w:rsidRPr="009F1F7D" w:rsidP="003155DA" w14:paraId="270487D5" w14:textId="77777777">
      <w:pPr>
        <w:pStyle w:val="NormalHanging12a"/>
      </w:pPr>
      <w:r w:rsidRPr="009F1F7D">
        <w:t>–</w:t>
      </w:r>
      <w:r w:rsidRPr="009F1F7D">
        <w:tab/>
        <w:t>so zreteľom na návrh vykonávacieho rozhodnutia Komisie o financovaní ročného akčného plánu v prospech Tanzánijskej zjednotenej republiky na rok 2026 (D115284/01),</w:t>
      </w:r>
    </w:p>
    <w:p w:rsidR="003155DA" w:rsidRPr="009F1F7D" w:rsidP="003155DA" w14:paraId="73DBCD5E" w14:textId="77777777">
      <w:pPr>
        <w:pStyle w:val="NormalHanging12a"/>
      </w:pPr>
      <w:r w:rsidRPr="009F1F7D">
        <w:t>–</w:t>
      </w:r>
      <w:r w:rsidRPr="009F1F7D">
        <w:tab/>
        <w:t xml:space="preserve">so zreteľom na nariadenie Európskeho parlamentu a Rady (EÚ) 2021/947 z 9. júna 2021, ktorým sa zriaďuje Nástroj susedstva a rozvojovej a medzinárodnej spolupráce – Globálna Európa, mení a zrušuje rozhodnutie Európskeho parlamentu a Rady č. 466/2014/EÚ a zrušuje nariadenie Európskeho parlamentu a Rady (EÚ) 2017/1601 a nariadenie Rady (ES, </w:t>
      </w:r>
      <w:r w:rsidRPr="009F1F7D">
        <w:t>Euratom</w:t>
      </w:r>
      <w:r w:rsidRPr="009F1F7D">
        <w:t>) č. 480/2009</w:t>
      </w:r>
      <w:r>
        <w:rPr>
          <w:vertAlign w:val="superscript"/>
        </w:rPr>
        <w:footnoteReference w:id="2"/>
      </w:r>
      <w:r w:rsidRPr="009F1F7D">
        <w:t xml:space="preserve"> (nariadenie o nástroji NDICI – Globálna Európa), a najmä jeho článok 25,</w:t>
      </w:r>
    </w:p>
    <w:p w:rsidR="003155DA" w:rsidRPr="009F1F7D" w:rsidP="003155DA" w14:paraId="52628AEE" w14:textId="77777777">
      <w:pPr>
        <w:pStyle w:val="NormalHanging12a"/>
      </w:pPr>
      <w:r w:rsidRPr="009F1F7D">
        <w:t>–</w:t>
      </w:r>
      <w:r w:rsidRPr="009F1F7D">
        <w:tab/>
        <w:t>so zreteľom na stanovisko predložené 20. mája 2026 výborom, ktorý je uvedený v článku 45 nariadenia (EÚ) 2021/947,</w:t>
      </w:r>
    </w:p>
    <w:p w:rsidR="003155DA" w:rsidRPr="009F1F7D" w:rsidP="003155DA" w14:paraId="2978A900" w14:textId="77777777">
      <w:pPr>
        <w:pStyle w:val="NormalHanging12a"/>
      </w:pPr>
      <w:r w:rsidRPr="009F1F7D">
        <w:t>–</w:t>
      </w:r>
      <w:r w:rsidRPr="009F1F7D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r>
        <w:rPr>
          <w:vertAlign w:val="superscript"/>
        </w:rPr>
        <w:footnoteReference w:id="3"/>
      </w:r>
      <w:r w:rsidRPr="009F1F7D">
        <w:t>,</w:t>
      </w:r>
    </w:p>
    <w:p w:rsidR="003155DA" w:rsidRPr="009F1F7D" w:rsidP="003155DA" w14:paraId="14F824FE" w14:textId="77777777">
      <w:pPr>
        <w:pStyle w:val="NormalHanging12a"/>
      </w:pPr>
      <w:r w:rsidRPr="009F1F7D">
        <w:t>–</w:t>
      </w:r>
      <w:r w:rsidRPr="009F1F7D">
        <w:tab/>
        <w:t>so zreteľom na uznesenie Európskeho parlamentu z 27. novembra 2025 o návrhu vykonávacieho rozhodnutia Komisie o financovaní ročného akčného plánu v prospech Tanzánijskej zjednotenej republiky na rok 2025</w:t>
      </w:r>
      <w:r>
        <w:rPr>
          <w:vertAlign w:val="superscript"/>
        </w:rPr>
        <w:footnoteReference w:id="4"/>
      </w:r>
      <w:r w:rsidRPr="009F1F7D">
        <w:t>,</w:t>
      </w:r>
    </w:p>
    <w:p w:rsidR="003155DA" w:rsidRPr="009F1F7D" w:rsidP="003155DA" w14:paraId="0EAFDC66" w14:textId="77777777">
      <w:pPr>
        <w:pStyle w:val="NormalHanging12a"/>
      </w:pPr>
      <w:r w:rsidRPr="009F1F7D">
        <w:t>–</w:t>
      </w:r>
      <w:r w:rsidRPr="009F1F7D">
        <w:tab/>
        <w:t xml:space="preserve">so zreteľom na uznesenie Európskeho parlamentu z 27. novembra 2025 o povolebnom </w:t>
      </w:r>
      <w:r w:rsidRPr="009F1F7D">
        <w:t xml:space="preserve">zabíjaní a zhoršení situácie v oblasti ľudských práv v Tanzánii vrátane prípadu väzneného opozičného lídra </w:t>
      </w:r>
      <w:r w:rsidRPr="009F1F7D">
        <w:t>Tundua</w:t>
      </w:r>
      <w:r w:rsidRPr="009F1F7D">
        <w:t xml:space="preserve"> </w:t>
      </w:r>
      <w:r w:rsidRPr="009F1F7D">
        <w:t>Lissua</w:t>
      </w:r>
      <w:r w:rsidRPr="009F1F7D">
        <w:t>,</w:t>
      </w:r>
    </w:p>
    <w:p w:rsidR="003155DA" w:rsidRPr="009F1F7D" w:rsidP="003155DA" w14:paraId="0BA6EA68" w14:textId="77777777">
      <w:pPr>
        <w:pStyle w:val="NormalHanging12a"/>
      </w:pPr>
      <w:r w:rsidRPr="009F1F7D">
        <w:t>–</w:t>
      </w:r>
      <w:r w:rsidRPr="009F1F7D">
        <w:tab/>
        <w:t xml:space="preserve">so zreteľom na uznesenie Európskeho parlamentu z 8. mája 2025 o zatknutí a riziku popravy </w:t>
      </w:r>
      <w:r w:rsidRPr="009F1F7D">
        <w:t>Tundua</w:t>
      </w:r>
      <w:r w:rsidRPr="009F1F7D">
        <w:t xml:space="preserve"> </w:t>
      </w:r>
      <w:r w:rsidRPr="009F1F7D">
        <w:t>Lissua</w:t>
      </w:r>
      <w:r w:rsidRPr="009F1F7D">
        <w:t xml:space="preserve">, predsedu hlavnej tanzánskej opozičnej strany </w:t>
      </w:r>
      <w:r w:rsidRPr="009F1F7D">
        <w:t>Chadema</w:t>
      </w:r>
      <w:r w:rsidRPr="009F1F7D">
        <w:t>,</w:t>
      </w:r>
    </w:p>
    <w:p w:rsidR="003155DA" w:rsidRPr="009F1F7D" w:rsidP="003155DA" w14:paraId="1D7B57D9" w14:textId="77777777">
      <w:pPr>
        <w:pStyle w:val="NormalHanging12a"/>
      </w:pPr>
      <w:r w:rsidRPr="009F1F7D">
        <w:t>–</w:t>
      </w:r>
      <w:r w:rsidRPr="009F1F7D">
        <w:tab/>
        <w:t>so zreteľom na článok 115 ods. 2 a 3 rokovacieho poriadku,</w:t>
      </w:r>
    </w:p>
    <w:p w:rsidR="003155DA" w:rsidRPr="009F1F7D" w:rsidP="003155DA" w14:paraId="1FE5DEED" w14:textId="77777777">
      <w:pPr>
        <w:pStyle w:val="NormalHanging12a"/>
      </w:pPr>
      <w:r w:rsidRPr="009F1F7D">
        <w:t>–</w:t>
      </w:r>
      <w:r w:rsidRPr="009F1F7D">
        <w:tab/>
        <w:t>so zreteľom na spoločné rokovania Výboru pre zahraničné veci a Výboru pre rozvoj podľa článku 59 rokovacieho poriadku,</w:t>
      </w:r>
    </w:p>
    <w:p w:rsidR="003155DA" w:rsidRPr="009F1F7D" w:rsidP="003155DA" w14:paraId="50A5DB53" w14:textId="77777777">
      <w:pPr>
        <w:pStyle w:val="NormalHanging12a"/>
      </w:pPr>
      <w:r w:rsidRPr="009F1F7D">
        <w:t>–</w:t>
      </w:r>
      <w:r w:rsidRPr="009F1F7D">
        <w:tab/>
        <w:t>so zreteľom na návrh uznesenia Výboru pre zahraničné veci a Výboru pre rozvoj,</w:t>
      </w:r>
    </w:p>
    <w:p w:rsidR="003155DA" w:rsidRPr="009F1F7D" w:rsidP="003155DA" w14:paraId="05DBE5F5" w14:textId="77777777">
      <w:pPr>
        <w:pStyle w:val="NormalHanging12a"/>
      </w:pPr>
      <w:r w:rsidRPr="009F1F7D">
        <w:t>A.</w:t>
      </w:r>
      <w:r w:rsidRPr="009F1F7D">
        <w:tab/>
        <w:t>keďže v novembri 2025 Komisia pozastavila proces prijímania návrhu vykonávacieho rozhodnutia o financovaní ročného akčného plánu v prospech Tanzánijskej zjednotenej republiky na rok 2025 z dôvodu obáv, ktoré vyjadril Európsky parlament;</w:t>
      </w:r>
    </w:p>
    <w:p w:rsidR="003155DA" w:rsidRPr="009F1F7D" w:rsidP="003155DA" w14:paraId="6011A392" w14:textId="77777777">
      <w:pPr>
        <w:pStyle w:val="NormalHanging12a"/>
      </w:pPr>
      <w:r w:rsidRPr="009F1F7D">
        <w:t>B.</w:t>
      </w:r>
      <w:r w:rsidRPr="009F1F7D">
        <w:tab/>
        <w:t>keďže 20. mája 2026 bol zrevidovaný návrh vykonávacieho rozhodnutia Komisie o financovaní ročného akčného plánu predložený výboru pre nástroj NDICI;</w:t>
      </w:r>
    </w:p>
    <w:p w:rsidR="003155DA" w:rsidRPr="009F1F7D" w:rsidP="003155DA" w14:paraId="1FBD0164" w14:textId="77777777">
      <w:pPr>
        <w:pStyle w:val="NormalHanging12a"/>
      </w:pPr>
      <w:r w:rsidRPr="009F1F7D">
        <w:t>C.</w:t>
      </w:r>
      <w:r w:rsidRPr="009F1F7D">
        <w:tab/>
        <w:t>keďže v zrevidovanom návrhu vykonávacieho rozhodnutia Komisie sa zachováva rovnaká celková suma a vo všeobecnosti rovnaké opatrenia ako v predchádzajúcom návrhu rozhodnutia, pričom sa navrhuje, aby sa vykonávanie uskutočňovalo najmä prostredníctvom nepriameho riadenia, a nie priamej rozpočtovej podpory tanzánijským orgánom;</w:t>
      </w:r>
    </w:p>
    <w:p w:rsidR="003155DA" w:rsidRPr="009F1F7D" w:rsidP="003155DA" w14:paraId="30EB1BA4" w14:textId="77777777">
      <w:pPr>
        <w:pStyle w:val="NormalHanging12a"/>
      </w:pPr>
      <w:r w:rsidRPr="009F1F7D">
        <w:t>D.</w:t>
      </w:r>
      <w:r w:rsidRPr="009F1F7D">
        <w:tab/>
        <w:t xml:space="preserve">keďže 23. apríla 2026 tanzánijská národná vyšetrovacia komisia, ktorá vyšetrovala násilie v súvislosti s voľbami konanými 29. októbra 2025, uznala, že zomrelo najmenej 518 ľudí, ale neidentifikovala zodpovedné osoby, čo bráni vyvodeniu zodpovednosti a spravodlivosti pre obete, pričom svoje zistenia nezverejnila; </w:t>
      </w:r>
    </w:p>
    <w:p w:rsidR="003155DA" w:rsidRPr="009F1F7D" w:rsidP="003155DA" w14:paraId="469032E7" w14:textId="77777777">
      <w:pPr>
        <w:pStyle w:val="NormalHanging12a"/>
      </w:pPr>
      <w:r w:rsidRPr="009F1F7D">
        <w:t>E.</w:t>
      </w:r>
      <w:r w:rsidRPr="009F1F7D">
        <w:tab/>
        <w:t>keďže tanzánijské orgány odmietli návštevu delegácie Podvýboru Európskeho parlamentu pre ľudské práva v máji 2026;</w:t>
      </w:r>
    </w:p>
    <w:p w:rsidR="003155DA" w:rsidRPr="009F1F7D" w:rsidP="003155DA" w14:paraId="24FD96F8" w14:textId="77777777">
      <w:pPr>
        <w:pStyle w:val="NormalHanging12a"/>
      </w:pPr>
      <w:r w:rsidRPr="009F1F7D">
        <w:t>F.</w:t>
      </w:r>
      <w:r w:rsidRPr="009F1F7D">
        <w:tab/>
        <w:t xml:space="preserve">keďže </w:t>
      </w:r>
      <w:r w:rsidRPr="009F1F7D">
        <w:t>Tundu</w:t>
      </w:r>
      <w:r w:rsidRPr="009F1F7D">
        <w:t xml:space="preserve"> </w:t>
      </w:r>
      <w:r w:rsidRPr="009F1F7D">
        <w:t>Lissu</w:t>
      </w:r>
      <w:r w:rsidRPr="009F1F7D">
        <w:t xml:space="preserve">, vodca hlavnej tanzánijskej opozičnej strany </w:t>
      </w:r>
      <w:r w:rsidRPr="009F1F7D">
        <w:t>Chadema</w:t>
      </w:r>
      <w:r w:rsidRPr="009F1F7D">
        <w:t>, je zadržiavaný už viac ako rok a čelí politicky motivovaným obvineniam s vážnymi právnymi dôsledkami vrátane trestu smrti;</w:t>
      </w:r>
    </w:p>
    <w:p w:rsidR="003155DA" w:rsidRPr="009F1F7D" w:rsidP="003155DA" w14:paraId="2F9573C6" w14:textId="77777777">
      <w:pPr>
        <w:pStyle w:val="NormalHanging12a"/>
      </w:pPr>
      <w:r w:rsidRPr="009F1F7D">
        <w:t>G.</w:t>
      </w:r>
      <w:r w:rsidRPr="009F1F7D">
        <w:tab/>
        <w:t>keďže tanzánijská vláda nesplnila žiadnu z požiadaviek, ktoré Európsky parlament predložil vo svojich uzneseniach z 8. mája a 27. novembra 2025, okrem iného ani výzvy na okamžité a bezpodmienečné prepustenie členov opozície, zlepšenie situácie v oblasti ľudských práv a zriadenie nezávislej a nestrannej medzinárodnej vyšetrovacej komisie na vyšetrenie povolebného násilia;</w:t>
      </w:r>
    </w:p>
    <w:p w:rsidR="003155DA" w:rsidRPr="009F1F7D" w:rsidP="003155DA" w14:paraId="138737F1" w14:textId="77777777">
      <w:pPr>
        <w:pStyle w:val="NormalHanging12a"/>
      </w:pPr>
      <w:r w:rsidRPr="009F1F7D">
        <w:t>H.</w:t>
      </w:r>
      <w:r w:rsidRPr="009F1F7D">
        <w:tab/>
        <w:t>keďže Komisia a Európska služba pre vonkajšiu činnosť účinne nepreukázali, že vyriešili reálne obavy, ktoré viedli k vzneseniu námietky v novembri 2025;</w:t>
      </w:r>
    </w:p>
    <w:p w:rsidR="003155DA" w:rsidRPr="009F1F7D" w:rsidP="003155DA" w14:paraId="4579D731" w14:textId="77777777">
      <w:pPr>
        <w:pStyle w:val="NormalHanging12a"/>
      </w:pPr>
      <w:r w:rsidRPr="009F1F7D">
        <w:t>1.</w:t>
      </w:r>
      <w:r w:rsidRPr="009F1F7D">
        <w:tab/>
        <w:t>domnieva sa, že návrh vykonávacieho rozhodnutia Komisie prekračuje rámec vykonávacích právomocí stanovených v nariadení (EÚ) 2021/947;</w:t>
      </w:r>
    </w:p>
    <w:p w:rsidR="003155DA" w:rsidRPr="009F1F7D" w:rsidP="003155DA" w14:paraId="6E4146F1" w14:textId="77777777">
      <w:pPr>
        <w:pStyle w:val="NormalHanging12a"/>
      </w:pPr>
      <w:r w:rsidRPr="009F1F7D">
        <w:t>2.</w:t>
      </w:r>
      <w:r w:rsidRPr="009F1F7D">
        <w:tab/>
        <w:t>domnieva sa, že návrh vykonávacieho rozhodnutia Komisie nie je v súlade s právom Únie, pretože nie je v súlade s cieľom nariadenia (EÚ) 2021/947;</w:t>
      </w:r>
    </w:p>
    <w:p w:rsidR="003155DA" w:rsidRPr="009F1F7D" w:rsidP="003155DA" w14:paraId="594B8B14" w14:textId="77777777">
      <w:pPr>
        <w:pStyle w:val="NormalHanging12a"/>
      </w:pPr>
      <w:r w:rsidRPr="009F1F7D">
        <w:t>3.</w:t>
      </w:r>
      <w:r w:rsidRPr="009F1F7D">
        <w:tab/>
        <w:t>domnieva sa, že v návrhu vykonávacieho rozhodnutia Komisie sa primerane nezohľadňujú obavy, ktoré Európsky parlament vyjadril vo svojom uznesení z 27. novembra 2025;</w:t>
      </w:r>
    </w:p>
    <w:p w:rsidR="003155DA" w:rsidRPr="009F1F7D" w:rsidP="003155DA" w14:paraId="42235E19" w14:textId="77777777">
      <w:pPr>
        <w:pStyle w:val="NormalHanging12a"/>
      </w:pPr>
      <w:r w:rsidRPr="009F1F7D">
        <w:t>4.</w:t>
      </w:r>
      <w:r w:rsidRPr="009F1F7D">
        <w:tab/>
        <w:t>vyjadruje poľutovanie nad skutočnosťou, že Komisia zase nepozastavila proces prijímania návrhu vykonávacieho rozhodnutia po tom, ako ju Európsky parlament informoval o svojich obavách; s poľutovaním konštatuje, že Komisia a ESVČ neberú do úvahy obavy, ktoré Európsky parlament vyjadril vo svojich uzneseniach týkajúcich sa Tanzánie;</w:t>
      </w:r>
    </w:p>
    <w:p w:rsidR="003155DA" w:rsidRPr="009F1F7D" w:rsidP="003155DA" w14:paraId="61DDCB22" w14:textId="77777777">
      <w:pPr>
        <w:pStyle w:val="NormalHanging12a"/>
      </w:pPr>
      <w:r w:rsidRPr="009F1F7D">
        <w:t>5.</w:t>
      </w:r>
      <w:r w:rsidRPr="009F1F7D">
        <w:tab/>
        <w:t>vyzýva Komisiu, aby stiahla svoj návrh vykonávacieho rozhodnutia a predložila výboru nový návrh a aby zároveň zabezpečila, aby žiadne nové zmeny nemali nepriaznivý vplyv na inkluzívne poskytovanie základných služieb obyvateľstvu, ochranu ľudských práv a demokracie alebo podporu organizácií občianskej spoločnosti;</w:t>
      </w:r>
    </w:p>
    <w:p w:rsidR="00E365E1" w:rsidRPr="009F1F7D" w:rsidP="009F1F7D" w14:paraId="2405E5B1" w14:textId="7482A1EB">
      <w:pPr>
        <w:pStyle w:val="NormalHanging12a"/>
      </w:pPr>
      <w:r w:rsidRPr="009F1F7D">
        <w:t>6.</w:t>
      </w:r>
      <w:r w:rsidRPr="009F1F7D">
        <w:tab/>
        <w:t>poveruje svoju predsedníčku, aby postúpila toto uznesenie Rade, Komisii a vládam a parlamentom členských štátov.</w:t>
      </w:r>
    </w:p>
    <w:sectPr w:rsidSect="005645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4581" w14:paraId="0A4D635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4581" w14:paraId="78CDC7B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4581" w14:paraId="1C90D2A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7820" w:rsidRPr="00564581" w14:paraId="0DB75B14" w14:textId="77777777">
      <w:r w:rsidRPr="00564581">
        <w:separator/>
      </w:r>
    </w:p>
  </w:footnote>
  <w:footnote w:type="continuationSeparator" w:id="1">
    <w:p w:rsidR="00F07820" w:rsidRPr="00564581" w14:paraId="4E4012BE" w14:textId="77777777">
      <w:r w:rsidRPr="00564581">
        <w:continuationSeparator/>
      </w:r>
    </w:p>
  </w:footnote>
  <w:footnote w:id="2">
    <w:p w:rsidR="003155DA" w:rsidRPr="00564581" w:rsidP="00564581" w14:paraId="02C56744" w14:textId="7FDA1D8D">
      <w:pPr>
        <w:pStyle w:val="FootnoteText"/>
        <w:ind w:left="567" w:hanging="567"/>
        <w:rPr>
          <w:sz w:val="24"/>
          <w:szCs w:val="24"/>
          <w:lang w:val="sk-SK"/>
        </w:rPr>
      </w:pPr>
      <w:r w:rsidRPr="00564581">
        <w:rPr>
          <w:rStyle w:val="FootnoteReference"/>
          <w:sz w:val="24"/>
          <w:lang w:val="sk-SK"/>
        </w:rPr>
        <w:footnoteRef/>
      </w:r>
      <w:r w:rsidRPr="00564581" w:rsidR="00564581">
        <w:rPr>
          <w:sz w:val="24"/>
          <w:lang w:val="sk-SK"/>
        </w:rPr>
        <w:t xml:space="preserve"> </w:t>
      </w:r>
      <w:r w:rsidRPr="00564581" w:rsidR="00564581">
        <w:rPr>
          <w:sz w:val="24"/>
          <w:lang w:val="sk-SK"/>
        </w:rPr>
        <w:tab/>
      </w:r>
      <w:r w:rsidRPr="00564581">
        <w:rPr>
          <w:sz w:val="24"/>
          <w:lang w:val="sk-SK"/>
        </w:rPr>
        <w:t xml:space="preserve">Ú. v. EÚ L 209, 14.6.2021, s. 1, ELI: </w:t>
      </w:r>
      <w:hyperlink r:id="rId1" w:tgtFrame="http://data.europa.eu/eli/reg/2021/947/oj" w:history="1">
        <w:r w:rsidRPr="00564581">
          <w:rPr>
            <w:rStyle w:val="Hyperlink"/>
            <w:sz w:val="24"/>
            <w:lang w:val="sk-SK"/>
          </w:rPr>
          <w:t>http://data.europa.eu/eli/reg/2021/947/oj.</w:t>
        </w:r>
      </w:hyperlink>
    </w:p>
  </w:footnote>
  <w:footnote w:id="3">
    <w:p w:rsidR="003155DA" w:rsidRPr="00564581" w:rsidP="00564581" w14:paraId="6A174284" w14:textId="4E9BAA89">
      <w:pPr>
        <w:pStyle w:val="FootnoteText"/>
        <w:ind w:left="567" w:hanging="567"/>
        <w:rPr>
          <w:sz w:val="24"/>
          <w:szCs w:val="24"/>
          <w:lang w:val="sk-SK"/>
        </w:rPr>
      </w:pPr>
      <w:r w:rsidRPr="00564581">
        <w:rPr>
          <w:rStyle w:val="FootnoteReference"/>
          <w:sz w:val="24"/>
          <w:szCs w:val="24"/>
          <w:lang w:val="sk-SK"/>
        </w:rPr>
        <w:footnoteRef/>
      </w:r>
      <w:r w:rsidRPr="00564581" w:rsidR="00564581">
        <w:rPr>
          <w:sz w:val="24"/>
          <w:lang w:val="sk-SK"/>
        </w:rPr>
        <w:t xml:space="preserve"> </w:t>
      </w:r>
      <w:r w:rsidRPr="00564581" w:rsidR="00564581">
        <w:rPr>
          <w:sz w:val="24"/>
          <w:lang w:val="sk-SK"/>
        </w:rPr>
        <w:tab/>
      </w:r>
      <w:r w:rsidRPr="00564581">
        <w:rPr>
          <w:sz w:val="24"/>
          <w:lang w:val="sk-SK"/>
        </w:rPr>
        <w:t xml:space="preserve">Ú. v. EÚ L 55, 28.2.2011, s. </w:t>
      </w:r>
      <w:r w:rsidRPr="00564581">
        <w:rPr>
          <w:sz w:val="24"/>
          <w:lang w:val="sk-SK"/>
        </w:rPr>
        <w:t xml:space="preserve">13, ELI: </w:t>
      </w:r>
      <w:hyperlink r:id="rId2" w:tooltip="Umožňuje prístup k tomuto dokumentu prostredníctvom identifikátora URI používaného v rámci ELI." w:history="1">
        <w:r w:rsidRPr="00564581">
          <w:rPr>
            <w:rStyle w:val="Hyperlink"/>
            <w:sz w:val="24"/>
            <w:lang w:val="sk-SK"/>
          </w:rPr>
          <w:t>http://data.europa.eu/eli/reg/2011/182/oj</w:t>
        </w:r>
      </w:hyperlink>
      <w:r w:rsidRPr="00564581">
        <w:rPr>
          <w:rStyle w:val="Hyperlink"/>
          <w:sz w:val="24"/>
          <w:lang w:val="sk-SK"/>
        </w:rPr>
        <w:t>.</w:t>
      </w:r>
    </w:p>
  </w:footnote>
  <w:footnote w:id="4">
    <w:p w:rsidR="003155DA" w:rsidRPr="00564581" w:rsidP="00564581" w14:paraId="195F9F3E" w14:textId="5F158A3A">
      <w:pPr>
        <w:pStyle w:val="FootnoteText"/>
        <w:ind w:left="567" w:hanging="567"/>
        <w:rPr>
          <w:sz w:val="24"/>
          <w:lang w:val="sk-SK"/>
        </w:rPr>
      </w:pPr>
      <w:r w:rsidRPr="00564581">
        <w:rPr>
          <w:rStyle w:val="FootnoteReference"/>
          <w:sz w:val="24"/>
          <w:szCs w:val="24"/>
          <w:lang w:val="sk-SK"/>
        </w:rPr>
        <w:footnoteRef/>
      </w:r>
      <w:r w:rsidRPr="00564581" w:rsidR="00564581">
        <w:rPr>
          <w:sz w:val="24"/>
          <w:lang w:val="sk-SK"/>
        </w:rPr>
        <w:t xml:space="preserve"> </w:t>
      </w:r>
      <w:r w:rsidRPr="00564581" w:rsidR="00564581">
        <w:rPr>
          <w:sz w:val="24"/>
          <w:lang w:val="sk-SK"/>
        </w:rPr>
        <w:tab/>
      </w:r>
      <w:r w:rsidRPr="00564581">
        <w:rPr>
          <w:sz w:val="24"/>
          <w:lang w:val="sk-SK"/>
        </w:rPr>
        <w:t>Prijaté texty, P10_TA(2025)0314.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4581" w14:paraId="2F66218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4581" w14:paraId="2645E336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64581" w14:paraId="0E86DC8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3276432">
    <w:abstractNumId w:val="9"/>
  </w:num>
  <w:num w:numId="2" w16cid:durableId="2141145902">
    <w:abstractNumId w:val="9"/>
  </w:num>
  <w:num w:numId="3" w16cid:durableId="1308321503">
    <w:abstractNumId w:val="7"/>
  </w:num>
  <w:num w:numId="4" w16cid:durableId="1178081012">
    <w:abstractNumId w:val="7"/>
  </w:num>
  <w:num w:numId="5" w16cid:durableId="1108694971">
    <w:abstractNumId w:val="6"/>
  </w:num>
  <w:num w:numId="6" w16cid:durableId="1434669016">
    <w:abstractNumId w:val="6"/>
  </w:num>
  <w:num w:numId="7" w16cid:durableId="407119962">
    <w:abstractNumId w:val="5"/>
  </w:num>
  <w:num w:numId="8" w16cid:durableId="208689781">
    <w:abstractNumId w:val="5"/>
  </w:num>
  <w:num w:numId="9" w16cid:durableId="1219590886">
    <w:abstractNumId w:val="4"/>
  </w:num>
  <w:num w:numId="10" w16cid:durableId="2114933071">
    <w:abstractNumId w:val="4"/>
  </w:num>
  <w:num w:numId="11" w16cid:durableId="1983925692">
    <w:abstractNumId w:val="8"/>
  </w:num>
  <w:num w:numId="12" w16cid:durableId="784271540">
    <w:abstractNumId w:val="8"/>
  </w:num>
  <w:num w:numId="13" w16cid:durableId="631206224">
    <w:abstractNumId w:val="3"/>
  </w:num>
  <w:num w:numId="14" w16cid:durableId="1347754564">
    <w:abstractNumId w:val="3"/>
  </w:num>
  <w:num w:numId="15" w16cid:durableId="64183259">
    <w:abstractNumId w:val="2"/>
  </w:num>
  <w:num w:numId="16" w16cid:durableId="896163251">
    <w:abstractNumId w:val="2"/>
  </w:num>
  <w:num w:numId="17" w16cid:durableId="374233670">
    <w:abstractNumId w:val="1"/>
  </w:num>
  <w:num w:numId="18" w16cid:durableId="1392533568">
    <w:abstractNumId w:val="1"/>
  </w:num>
  <w:num w:numId="19" w16cid:durableId="807822304">
    <w:abstractNumId w:val="0"/>
  </w:num>
  <w:num w:numId="20" w16cid:durableId="257062161">
    <w:abstractNumId w:val="0"/>
  </w:num>
  <w:num w:numId="21" w16cid:durableId="1769811544">
    <w:abstractNumId w:val="9"/>
  </w:num>
  <w:num w:numId="22" w16cid:durableId="546995321">
    <w:abstractNumId w:val="7"/>
  </w:num>
  <w:num w:numId="23" w16cid:durableId="982084692">
    <w:abstractNumId w:val="6"/>
  </w:num>
  <w:num w:numId="24" w16cid:durableId="79525436">
    <w:abstractNumId w:val="5"/>
  </w:num>
  <w:num w:numId="25" w16cid:durableId="2019845702">
    <w:abstractNumId w:val="4"/>
  </w:num>
  <w:num w:numId="26" w16cid:durableId="344403842">
    <w:abstractNumId w:val="8"/>
  </w:num>
  <w:num w:numId="27" w16cid:durableId="1707749423">
    <w:abstractNumId w:val="3"/>
  </w:num>
  <w:num w:numId="28" w16cid:durableId="1339115948">
    <w:abstractNumId w:val="2"/>
  </w:num>
  <w:num w:numId="29" w16cid:durableId="285040234">
    <w:abstractNumId w:val="1"/>
  </w:num>
  <w:num w:numId="30" w16cid:durableId="2139255256">
    <w:abstractNumId w:val="0"/>
  </w:num>
  <w:num w:numId="31" w16cid:durableId="1627080731">
    <w:abstractNumId w:val="9"/>
  </w:num>
  <w:num w:numId="32" w16cid:durableId="1301035837">
    <w:abstractNumId w:val="7"/>
  </w:num>
  <w:num w:numId="33" w16cid:durableId="851720924">
    <w:abstractNumId w:val="6"/>
  </w:num>
  <w:num w:numId="34" w16cid:durableId="230166091">
    <w:abstractNumId w:val="5"/>
  </w:num>
  <w:num w:numId="35" w16cid:durableId="1016348569">
    <w:abstractNumId w:val="4"/>
  </w:num>
  <w:num w:numId="36" w16cid:durableId="788814750">
    <w:abstractNumId w:val="8"/>
  </w:num>
  <w:num w:numId="37" w16cid:durableId="1359159498">
    <w:abstractNumId w:val="3"/>
  </w:num>
  <w:num w:numId="38" w16cid:durableId="549149801">
    <w:abstractNumId w:val="2"/>
  </w:num>
  <w:num w:numId="39" w16cid:durableId="906260470">
    <w:abstractNumId w:val="1"/>
  </w:num>
  <w:num w:numId="40" w16cid:durableId="1841189076">
    <w:abstractNumId w:val="0"/>
  </w:num>
  <w:num w:numId="41" w16cid:durableId="1756050024">
    <w:abstractNumId w:val="10"/>
  </w:num>
  <w:num w:numId="42" w16cid:durableId="187451526">
    <w:abstractNumId w:val="10"/>
  </w:num>
  <w:num w:numId="43" w16cid:durableId="274102564">
    <w:abstractNumId w:val="10"/>
  </w:num>
  <w:num w:numId="44" w16cid:durableId="5815718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08B"/>
    <w:rsid w:val="002767FF"/>
    <w:rsid w:val="002B18FE"/>
    <w:rsid w:val="002B5493"/>
    <w:rsid w:val="003155D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58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F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4A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99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07820"/>
    <w:rsid w:val="00F149E9"/>
    <w:rsid w:val="00F506E0"/>
    <w:rsid w:val="00F5134D"/>
    <w:rsid w:val="00F74202"/>
    <w:rsid w:val="00F87713"/>
    <w:rsid w:val="00FB4360"/>
    <w:rsid w:val="00FD0C70"/>
  </w:rsids>
  <w:docVars>
    <w:docVar w:name="dvdocse" w:val="B10-0273/2026"/>
    <w:docVar w:name="dvlangue" w:val="SK"/>
    <w:docVar w:name="dvnumam" w:val="0"/>
    <w:docVar w:name="dvpe" w:val="789.144"/>
    <w:docVar w:name="dvtitre" w:val="Uznesenie Európskeho parlamentu z/zo xx. xxx 2026 o návrhu vykonávacieho rozhodnutia Komisie o financovaní ročného akčného plánu v prospech Tanzánijskej zjednotenej republiky na rok 2026(D115284/01 – 2026/274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8A2F64"/>
  <w15:chartTrackingRefBased/>
  <w15:docId w15:val="{6C87CF02-B036-41FB-8D07-F75D606D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55DA"/>
    <w:pPr>
      <w:spacing w:before="480" w:after="240"/>
    </w:pPr>
  </w:style>
  <w:style w:type="paragraph" w:customStyle="1" w:styleId="NormalHanging12a">
    <w:name w:val="NormalHanging12a"/>
    <w:basedOn w:val="Normal"/>
    <w:rsid w:val="003155DA"/>
    <w:pPr>
      <w:spacing w:after="240"/>
      <w:ind w:left="567" w:hanging="567"/>
    </w:pPr>
  </w:style>
  <w:style w:type="character" w:styleId="Hyperlink">
    <w:name w:val="Hyperlink"/>
    <w:basedOn w:val="DefaultParagraphFont"/>
    <w:rsid w:val="003155D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964A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2" Type="http://schemas.openxmlformats.org/officeDocument/2006/relationships/hyperlink" Target="http://data.europa.eu/eli/reg/2011/18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4644</Characters>
  <Application>Microsoft Office Word</Application>
  <DocSecurity>0</DocSecurity>
  <Lines>87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2026-06-18T09:20:00Z</dcterms:created>
  <dcterms:modified xsi:type="dcterms:W3CDTF">2026-06-18T09:20:00Z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B10-0273/2026</vt:lpwstr>
  </property>
  <property fmtid="{D5CDD505-2E9C-101B-9397-08002B2CF9AE}" pid="4" name="&lt;Type&gt;">
    <vt:lpwstr>RR</vt:lpwstr>
  </property>
</Properties>
</file>