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B13612" w14:textId="77777777" w:rsidTr="0010095E">
        <w:tblPrEx>
          <w:tblW w:w="9072" w:type="dxa"/>
          <w:tblLook w:val="01E0"/>
        </w:tblPrEx>
        <w:trPr>
          <w:trHeight w:hRule="exact" w:val="1418"/>
        </w:trPr>
        <w:tc>
          <w:tcPr>
            <w:tcW w:w="6804" w:type="dxa"/>
            <w:shd w:val="clear" w:color="auto" w:fill="auto"/>
            <w:vAlign w:val="center"/>
          </w:tcPr>
          <w:p w:rsidR="00751A4A" w:rsidRPr="006C02B8" w:rsidP="0010095E" w14:paraId="2F248EAF" w14:textId="77777777">
            <w:pPr>
              <w:pStyle w:val="EPName"/>
            </w:pPr>
            <w:r w:rsidRPr="006C02B8">
              <w:t>Evropski parlament</w:t>
            </w:r>
          </w:p>
          <w:p w:rsidR="00751A4A" w:rsidRPr="006C02B8" w:rsidP="005F1B17" w14:paraId="2882958F" w14:textId="77777777">
            <w:pPr>
              <w:pStyle w:val="EPTerm"/>
              <w:rPr>
                <w:rStyle w:val="HideTWBExt"/>
                <w:noProof w:val="0"/>
                <w:vanish w:val="0"/>
                <w:color w:val="auto"/>
              </w:rPr>
            </w:pPr>
            <w:r w:rsidRPr="006C02B8">
              <w:t>2024</w:t>
            </w:r>
            <w:r w:rsidRPr="006C02B8" w:rsidR="00817416">
              <w:t>-202</w:t>
            </w:r>
            <w:r w:rsidRPr="006C02B8">
              <w:t>9</w:t>
            </w:r>
          </w:p>
        </w:tc>
        <w:tc>
          <w:tcPr>
            <w:tcW w:w="2268" w:type="dxa"/>
            <w:shd w:val="clear" w:color="auto" w:fill="auto"/>
          </w:tcPr>
          <w:p w:rsidR="00751A4A" w:rsidRPr="006C02B8" w:rsidP="0010095E" w14:paraId="34B05B74" w14:textId="77777777">
            <w:pPr>
              <w:pStyle w:val="EPLogo"/>
            </w:pPr>
            <w:r w:rsidRPr="006C02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02B8" w:rsidP="004C5D52" w14:paraId="657454EF" w14:textId="77777777">
      <w:pPr>
        <w:pStyle w:val="LineTop"/>
      </w:pPr>
    </w:p>
    <w:p w:rsidR="00680577" w:rsidRPr="006C02B8" w:rsidP="00680577" w14:paraId="3AEB5387" w14:textId="77777777">
      <w:pPr>
        <w:pStyle w:val="EPBodyTA1"/>
      </w:pPr>
      <w:r w:rsidRPr="006C02B8">
        <w:t>SPREJETA BESEDILA</w:t>
      </w:r>
    </w:p>
    <w:p w:rsidR="00D058B8" w:rsidRPr="006C02B8" w:rsidP="00D058B8" w14:paraId="70F041CC" w14:textId="77777777">
      <w:pPr>
        <w:pStyle w:val="LineBottom"/>
      </w:pPr>
    </w:p>
    <w:p w:rsidR="006F26CE" w:rsidRPr="006C02B8" w:rsidP="006F26CE" w14:paraId="4C19348E" w14:textId="5BBFA292">
      <w:pPr>
        <w:pStyle w:val="ATHeading1"/>
      </w:pPr>
      <w:bookmarkStart w:id="0" w:name="TANumber"/>
      <w:r w:rsidRPr="006C02B8">
        <w:t>P10_TA(2026)</w:t>
      </w:r>
      <w:bookmarkEnd w:id="0"/>
      <w:r w:rsidRPr="006C02B8" w:rsidR="006C02B8">
        <w:t>0232</w:t>
      </w:r>
    </w:p>
    <w:p w:rsidR="006F26CE" w:rsidRPr="006C02B8" w:rsidP="006F26CE" w14:paraId="7E0218C1" w14:textId="61CCA091">
      <w:pPr>
        <w:pStyle w:val="ATHeading2"/>
      </w:pPr>
      <w:bookmarkStart w:id="1" w:name="title"/>
      <w:r w:rsidRPr="006C02B8">
        <w:t>F</w:t>
      </w:r>
      <w:r w:rsidRPr="006C02B8">
        <w:t>inanciranje letnega akcijskega načrta v korist Združene republike Tanzanije za leto 2026</w:t>
      </w:r>
      <w:bookmarkEnd w:id="1"/>
    </w:p>
    <w:p w:rsidR="006F26CE" w:rsidRPr="006C02B8" w:rsidP="006F26CE" w14:paraId="317C96E8" w14:textId="77777777">
      <w:pPr>
        <w:rPr>
          <w:i/>
          <w:vanish/>
        </w:rPr>
      </w:pPr>
      <w:r>
        <w:rPr>
          <w:i/>
        </w:rPr>
        <w:fldChar w:fldCharType="begin"/>
      </w:r>
      <w:r w:rsidRPr="006C02B8">
        <w:rPr>
          <w:i/>
        </w:rPr>
        <w:instrText xml:space="preserve"> TC"(</w:instrText>
      </w:r>
      <w:bookmarkStart w:id="2" w:name="DocNumber"/>
      <w:r w:rsidRPr="006C02B8">
        <w:rPr>
          <w:i/>
        </w:rPr>
        <w:instrText>B10-0273/2026</w:instrText>
      </w:r>
      <w:bookmarkEnd w:id="2"/>
      <w:r w:rsidRPr="006C02B8">
        <w:rPr>
          <w:i/>
        </w:rPr>
        <w:instrText xml:space="preserve">)"\l3 \n&gt; \* MERGEFORMAT </w:instrText>
      </w:r>
      <w:r>
        <w:rPr>
          <w:i/>
        </w:rPr>
        <w:fldChar w:fldCharType="end"/>
      </w:r>
    </w:p>
    <w:p w:rsidR="006F26CE" w:rsidRPr="006C02B8" w:rsidP="006F26CE" w14:paraId="13B60040" w14:textId="77777777">
      <w:pPr>
        <w:rPr>
          <w:vanish/>
        </w:rPr>
      </w:pPr>
      <w:bookmarkStart w:id="3" w:name="PE"/>
      <w:r w:rsidRPr="006C02B8">
        <w:rPr>
          <w:vanish/>
        </w:rPr>
        <w:t>PE789.144</w:t>
      </w:r>
      <w:bookmarkEnd w:id="3"/>
    </w:p>
    <w:p w:rsidR="006F26CE" w:rsidRPr="006C02B8" w:rsidP="006F26CE" w14:paraId="4834530B" w14:textId="32EDA815">
      <w:pPr>
        <w:pStyle w:val="ATHeading3"/>
      </w:pPr>
      <w:bookmarkStart w:id="4" w:name="Sujet"/>
      <w:r w:rsidRPr="006C02B8">
        <w:t xml:space="preserve">Resolucija Evropskega parlamenta z dne </w:t>
      </w:r>
      <w:r w:rsidRPr="006C02B8" w:rsidR="007C3A93">
        <w:t>18</w:t>
      </w:r>
      <w:r w:rsidRPr="006C02B8">
        <w:t>. junija 2026 o osnutku izvedbenega sklepa Komisije o financiranju letnega akcijskega načrta v korist Združene republike Tanzanije za leto 2026</w:t>
      </w:r>
      <w:bookmarkEnd w:id="4"/>
      <w:r w:rsidRPr="006C02B8">
        <w:t xml:space="preserve"> </w:t>
      </w:r>
      <w:bookmarkStart w:id="5" w:name="References"/>
      <w:r w:rsidRPr="006C02B8">
        <w:t>(D115284/01 – 2026/2749(RSP))</w:t>
      </w:r>
      <w:bookmarkEnd w:id="5"/>
    </w:p>
    <w:p w:rsidR="008E77C5" w:rsidRPr="006C02B8" w:rsidP="008E77C5" w14:paraId="462399EF" w14:textId="77777777">
      <w:pPr>
        <w:pStyle w:val="EPComma"/>
      </w:pPr>
      <w:bookmarkStart w:id="6" w:name="TextBodyBegin"/>
      <w:bookmarkEnd w:id="6"/>
      <w:r w:rsidRPr="006C02B8">
        <w:rPr>
          <w:i/>
        </w:rPr>
        <w:t>Evropski parlament</w:t>
      </w:r>
      <w:r w:rsidRPr="006C02B8">
        <w:t>,</w:t>
      </w:r>
    </w:p>
    <w:p w:rsidR="008E77C5" w:rsidRPr="006C02B8" w:rsidP="008E77C5" w14:paraId="5ED531A6" w14:textId="77777777">
      <w:pPr>
        <w:pStyle w:val="NormalHanging12a"/>
      </w:pPr>
      <w:r w:rsidRPr="006C02B8">
        <w:t>–</w:t>
      </w:r>
      <w:r w:rsidRPr="006C02B8">
        <w:tab/>
        <w:t>ob upoštevanju osnutka izvedbenega sklepa Komisije</w:t>
      </w:r>
      <w:r w:rsidRPr="006C02B8">
        <w:tab/>
        <w:t>o financiranju letnega akcijskega načrta v korist Združene republike Tanzanije za leto 2026 (D115284/01),</w:t>
      </w:r>
    </w:p>
    <w:p w:rsidR="008E77C5" w:rsidRPr="006C02B8" w:rsidP="008E77C5" w14:paraId="33DEA69D" w14:textId="77777777">
      <w:pPr>
        <w:pStyle w:val="NormalHanging12a"/>
      </w:pPr>
      <w:r w:rsidRPr="006C02B8">
        <w:t>–</w:t>
      </w:r>
      <w:r w:rsidRPr="006C02B8">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Pr>
          <w:vertAlign w:val="superscript"/>
        </w:rPr>
        <w:footnoteReference w:id="2"/>
      </w:r>
      <w:r w:rsidRPr="006C02B8">
        <w:t xml:space="preserve"> (v nadaljnjem besedilu: uredba NDICI – Globalna Evropa) in zlasti člena 25 Uredbe,</w:t>
      </w:r>
    </w:p>
    <w:p w:rsidR="008E77C5" w:rsidRPr="006C02B8" w:rsidP="008E77C5" w14:paraId="7FAAB1CB" w14:textId="77777777">
      <w:pPr>
        <w:pStyle w:val="NormalHanging12a"/>
      </w:pPr>
      <w:r w:rsidRPr="006C02B8">
        <w:t>–</w:t>
      </w:r>
      <w:r w:rsidRPr="006C02B8">
        <w:tab/>
        <w:t>ob upoštevanju mnenja z dne 20. maja 2026, ki ga je podal odbor iz člena 45 Uredbe (EU) 2021/947,</w:t>
      </w:r>
    </w:p>
    <w:p w:rsidR="008E77C5" w:rsidRPr="006C02B8" w:rsidP="008E77C5" w14:paraId="5273B401" w14:textId="77777777">
      <w:pPr>
        <w:pStyle w:val="NormalHanging12a"/>
      </w:pPr>
      <w:r w:rsidRPr="006C02B8">
        <w:t>–</w:t>
      </w:r>
      <w:r w:rsidRPr="006C02B8">
        <w:tab/>
        <w:t>ob upoštevanju člena 11 Uredbe (EU) št. 182/2011 Evropskega parlamenta in Sveta z dne 16. februarja 2011 o določitvi splošnih pravil in načel, na podlagi katerih države članice nadzirajo izvajanje izvedbenih pooblastil Komisije</w:t>
      </w:r>
      <w:r>
        <w:rPr>
          <w:rStyle w:val="FootnoteReference"/>
        </w:rPr>
        <w:footnoteReference w:id="3"/>
      </w:r>
      <w:r w:rsidRPr="006C02B8">
        <w:t>,</w:t>
      </w:r>
    </w:p>
    <w:p w:rsidR="008E77C5" w:rsidRPr="006C02B8" w:rsidP="008E77C5" w14:paraId="3BCD5C8F" w14:textId="77777777">
      <w:pPr>
        <w:pStyle w:val="NormalHanging12a"/>
      </w:pPr>
      <w:r w:rsidRPr="006C02B8">
        <w:t>–</w:t>
      </w:r>
      <w:r w:rsidRPr="006C02B8">
        <w:tab/>
        <w:t>ob upoštevanju resolucije Evropskega parlamenta z dne 27. novembra 2025 o osnutku izvedbenega sklepa Komisije o financiranju letnega akcijskega načrta v korist Združene republike Tanzanije za leto 2025</w:t>
      </w:r>
      <w:r>
        <w:rPr>
          <w:vertAlign w:val="superscript"/>
        </w:rPr>
        <w:footnoteReference w:id="4"/>
      </w:r>
      <w:r w:rsidRPr="006C02B8">
        <w:t>,</w:t>
      </w:r>
    </w:p>
    <w:p w:rsidR="008E77C5" w:rsidRPr="006C02B8" w:rsidP="008E77C5" w14:paraId="5064BDC1" w14:textId="77777777">
      <w:pPr>
        <w:pStyle w:val="NormalHanging12a"/>
      </w:pPr>
      <w:r w:rsidRPr="006C02B8">
        <w:t>–</w:t>
      </w:r>
      <w:r w:rsidRPr="006C02B8">
        <w:tab/>
        <w:t xml:space="preserve">ob upoštevanju resolucije Evropskega parlamenta z dne 27. novembra 2025 o ubojih po volitvah in slabšanju razmer na področju človekovih pravic v Tanzaniji, vključno s </w:t>
      </w:r>
      <w:r w:rsidRPr="006C02B8">
        <w:t>primerom zaprtega opozicijskega voditelja Tunduja Lissuja,</w:t>
      </w:r>
    </w:p>
    <w:p w:rsidR="008E77C5" w:rsidRPr="006C02B8" w:rsidP="008E77C5" w14:paraId="43D06CDB" w14:textId="77777777">
      <w:pPr>
        <w:pStyle w:val="NormalHanging12a"/>
      </w:pPr>
      <w:r w:rsidRPr="006C02B8">
        <w:t>–</w:t>
      </w:r>
      <w:r w:rsidRPr="006C02B8">
        <w:tab/>
        <w:t>ob upoštevanju resolucije Evropskega parlamenta z dne 8. maja 2025 o aretaciji in nevarnosti usmrtitve Tunduja Lissuja, predsednika glavne opozicijske stranke Chadema v Tanzaniji,</w:t>
      </w:r>
    </w:p>
    <w:p w:rsidR="008E77C5" w:rsidRPr="006C02B8" w:rsidP="008E77C5" w14:paraId="2DECDBEF" w14:textId="77777777">
      <w:pPr>
        <w:pStyle w:val="NormalHanging12a"/>
      </w:pPr>
      <w:r w:rsidRPr="006C02B8">
        <w:t>–</w:t>
      </w:r>
      <w:r w:rsidRPr="006C02B8">
        <w:tab/>
        <w:t>ob upoštevanju člena 115(2) in (3) Poslovnika,</w:t>
      </w:r>
    </w:p>
    <w:p w:rsidR="008E77C5" w:rsidRPr="006C02B8" w:rsidP="008E77C5" w14:paraId="72BE3983" w14:textId="77777777">
      <w:pPr>
        <w:pStyle w:val="NormalHanging12a"/>
      </w:pPr>
      <w:r w:rsidRPr="006C02B8">
        <w:t>–</w:t>
      </w:r>
      <w:r w:rsidRPr="006C02B8">
        <w:tab/>
        <w:t>ob upoštevanju skupnih razprav Odbora za zunanje zadeve in Odbora za razvoj v skladu s členom 59 Poslovnika,</w:t>
      </w:r>
    </w:p>
    <w:p w:rsidR="008E77C5" w:rsidRPr="006C02B8" w:rsidP="008E77C5" w14:paraId="06B140B1" w14:textId="77777777">
      <w:pPr>
        <w:pStyle w:val="NormalHanging12a"/>
      </w:pPr>
      <w:r w:rsidRPr="006C02B8">
        <w:t>–</w:t>
      </w:r>
      <w:r w:rsidRPr="006C02B8">
        <w:tab/>
        <w:t>ob upoštevanju predloga resolucije Odbora za zunanje zadeve in Odbora za razvoj,</w:t>
      </w:r>
    </w:p>
    <w:p w:rsidR="008E77C5" w:rsidRPr="006C02B8" w:rsidP="008E77C5" w14:paraId="590B8191" w14:textId="77777777">
      <w:pPr>
        <w:pStyle w:val="NormalHanging12a"/>
      </w:pPr>
      <w:r w:rsidRPr="006C02B8">
        <w:t>A.</w:t>
      </w:r>
      <w:r w:rsidRPr="006C02B8">
        <w:tab/>
        <w:t>ker je Komisija novembra 2025 zaradi pomislekov, ki jih je izrazil Evropski parlament, začasno prekinila postopek za sprejetje osnutka izvedbenega sklepa o financiranju letnega akcijskega načrta v korist Združene republike Tanzanije za leto 2025;</w:t>
      </w:r>
    </w:p>
    <w:p w:rsidR="008E77C5" w:rsidRPr="006C02B8" w:rsidP="008E77C5" w14:paraId="29768B84" w14:textId="77777777">
      <w:pPr>
        <w:pStyle w:val="NormalHanging12a"/>
      </w:pPr>
      <w:r w:rsidRPr="006C02B8">
        <w:t>B.</w:t>
      </w:r>
      <w:r w:rsidRPr="006C02B8">
        <w:tab/>
        <w:t>ker je bil revidirani osnutek izvedbenega sklepa Komisije 20. maja 2026 predstavljen Odboru za Instrument za sosedstvo ter razvojno in mednarodno sodelovanje;</w:t>
      </w:r>
    </w:p>
    <w:p w:rsidR="008E77C5" w:rsidRPr="006C02B8" w:rsidP="008E77C5" w14:paraId="43D319C0" w14:textId="77777777">
      <w:pPr>
        <w:pStyle w:val="NormalHanging12a"/>
      </w:pPr>
      <w:r w:rsidRPr="006C02B8">
        <w:t>C.</w:t>
      </w:r>
      <w:r w:rsidRPr="006C02B8">
        <w:tab/>
        <w:t>ker revidirani osnutek izvedbenega sklepa Komisije ohranja enak skupni znesek in na splošno enake ukrepe kot prejšnji osnutek sklepa, hkrati pa predlaga, da bi moralo izvajanje potekati predvsem s posrednim upravljanjem in ne z neposredno proračunsko podporo tanzanijskim oblastem;</w:t>
      </w:r>
    </w:p>
    <w:p w:rsidR="008E77C5" w:rsidRPr="006C02B8" w:rsidP="008E77C5" w14:paraId="148FA994" w14:textId="77777777">
      <w:pPr>
        <w:pStyle w:val="NormalHanging12a"/>
      </w:pPr>
      <w:r w:rsidRPr="006C02B8">
        <w:t>D.</w:t>
      </w:r>
      <w:r w:rsidRPr="006C02B8">
        <w:tab/>
        <w:t xml:space="preserve">ker je tanzanijska nacionalna preiskovalna komisija, ki je preiskovala nasilje v zvezi z volitvami 29. oktobra 2025, 23. aprila 2026 priznala, da je umrlo vsaj 518 ljudi, a ni identificirala odgovornih, s čimer je ovirala odgovornost in pravičnost za žrtve, svojih ugotovitev pa tudi ni objavila; </w:t>
      </w:r>
    </w:p>
    <w:p w:rsidR="008E77C5" w:rsidRPr="006C02B8" w:rsidP="008E77C5" w14:paraId="66694989" w14:textId="77777777">
      <w:pPr>
        <w:pStyle w:val="NormalHanging12a"/>
      </w:pPr>
      <w:r w:rsidRPr="006C02B8">
        <w:t>E.</w:t>
      </w:r>
      <w:r w:rsidRPr="006C02B8">
        <w:tab/>
        <w:t>ker so tanzanijske oblasti maja 2026 zavrnile obisk delegacije Pododbora Evropskega parlamenta za človekove pravice;</w:t>
      </w:r>
    </w:p>
    <w:p w:rsidR="008E77C5" w:rsidRPr="006C02B8" w:rsidP="008E77C5" w14:paraId="70370481" w14:textId="77777777">
      <w:pPr>
        <w:pStyle w:val="NormalHanging12a"/>
      </w:pPr>
      <w:r w:rsidRPr="006C02B8">
        <w:t>F.</w:t>
      </w:r>
      <w:r w:rsidRPr="006C02B8">
        <w:tab/>
        <w:t>ker je Tundu Lissu, vodja glavne tanzanijske opozicijske stranke Chadema, že več kot eno leto v priporu in se sooča s politično motiviranimi obtožbami, ki imajo resne pravne posledice, vključno s smrtno kaznijo;</w:t>
      </w:r>
    </w:p>
    <w:p w:rsidR="008E77C5" w:rsidRPr="006C02B8" w:rsidP="008E77C5" w14:paraId="09B4ACBF" w14:textId="77777777">
      <w:pPr>
        <w:pStyle w:val="NormalHanging12a"/>
      </w:pPr>
      <w:r w:rsidRPr="006C02B8">
        <w:t>G.</w:t>
      </w:r>
      <w:r w:rsidRPr="006C02B8">
        <w:tab/>
        <w:t>ker tanzanijska vlada ni izpolnila nobene od zahtev Evropskega parlamenta iz resolucij z dne 8. maja in 27. novembra 2025, med drugim tudi pozivov k takojšnji in brezpogojni izpustitvi članov opozicije, izboljšanju razmer na področju človekovih pravic ter ustanovitvi neodvisne in nepristranske mednarodne preiskovalne komisije, ki bi preiskala povolilno nasilje;</w:t>
      </w:r>
    </w:p>
    <w:p w:rsidR="008E77C5" w:rsidRPr="006C02B8" w:rsidP="008E77C5" w14:paraId="7353D3CE" w14:textId="77777777">
      <w:pPr>
        <w:pStyle w:val="NormalHanging12a"/>
      </w:pPr>
      <w:r w:rsidRPr="006C02B8">
        <w:t>H.</w:t>
      </w:r>
      <w:r w:rsidRPr="006C02B8">
        <w:tab/>
        <w:t>ker Komisija in Evropska služba za zunanje delovanje nista učinkovito dokazali, da sta obravnavali dejanske pomisleke, ki so privedli do nasprotovanja novembra 2025;</w:t>
      </w:r>
    </w:p>
    <w:p w:rsidR="008E77C5" w:rsidRPr="006C02B8" w:rsidP="008E77C5" w14:paraId="71F17D6B" w14:textId="7A98D4D3">
      <w:pPr>
        <w:pStyle w:val="NormalHanging12a"/>
      </w:pPr>
      <w:r w:rsidRPr="006C02B8">
        <w:t>1.</w:t>
      </w:r>
      <w:r w:rsidRPr="006C02B8">
        <w:tab/>
        <w:t>meni, da osnutek izvedbenega sklepa Komisije presega izvedbena pooblastila, določena v Uredbi (EU) 2021/9</w:t>
      </w:r>
      <w:r w:rsidR="006A2EB1">
        <w:t>47</w:t>
      </w:r>
      <w:r w:rsidRPr="006C02B8">
        <w:t>;</w:t>
      </w:r>
    </w:p>
    <w:p w:rsidR="008E77C5" w:rsidRPr="006C02B8" w:rsidP="008E77C5" w14:paraId="58656E2D" w14:textId="77777777">
      <w:pPr>
        <w:pStyle w:val="NormalHanging12a"/>
      </w:pPr>
      <w:r w:rsidRPr="006C02B8">
        <w:t>2.</w:t>
      </w:r>
      <w:r w:rsidRPr="006C02B8">
        <w:tab/>
        <w:t>meni, da osnutek izvedbenega sklepa Komisije ni v skladu s pravom Unije, ker ni skladen s cilji Uredbe (EU) 2021/947;</w:t>
      </w:r>
    </w:p>
    <w:p w:rsidR="008E77C5" w:rsidRPr="006C02B8" w:rsidP="008E77C5" w14:paraId="46409B60" w14:textId="77777777">
      <w:pPr>
        <w:pStyle w:val="NormalHanging12a"/>
      </w:pPr>
      <w:r w:rsidRPr="006C02B8">
        <w:t>3.</w:t>
      </w:r>
      <w:r w:rsidRPr="006C02B8">
        <w:tab/>
        <w:t>meni, da v osnutku izvedbenega sklepa Komisije niso ustrezno upoštevani pomisleki, ki jih je Evropski parlament izrazil v svoji resoluciji z dne 27. novembra 2025;</w:t>
      </w:r>
    </w:p>
    <w:p w:rsidR="008E77C5" w:rsidRPr="006C02B8" w:rsidP="008E77C5" w14:paraId="37958259" w14:textId="77777777">
      <w:pPr>
        <w:pStyle w:val="NormalHanging12a"/>
      </w:pPr>
      <w:r w:rsidRPr="006C02B8">
        <w:t>4.</w:t>
      </w:r>
      <w:r w:rsidRPr="006C02B8">
        <w:tab/>
        <w:t>obžaluje, da Komisija ni ponovno prekinila postopka sprejetja osnutka izvedbenega sklepa, potem ko jo je Evropski parlament obvestil o pomislekih; obžaluje, da Komisija in Evropska služba za zunanje delovanje ne upoštevata pomislekov, ki jih je Evropski parlament izrazil v svojih resolucijah o Tanzaniji;</w:t>
      </w:r>
    </w:p>
    <w:p w:rsidR="008E77C5" w:rsidRPr="006C02B8" w:rsidP="008E77C5" w14:paraId="7DB66D51" w14:textId="77777777">
      <w:pPr>
        <w:pStyle w:val="NormalHanging12a"/>
      </w:pPr>
      <w:r w:rsidRPr="006C02B8">
        <w:t>5.</w:t>
      </w:r>
      <w:r w:rsidRPr="006C02B8">
        <w:tab/>
        <w:t>poziva Komisijo, naj umakne svoj osnutek izvedbenega sklepa in odboru predloži nov osnutek, pri čemer naj zagotovi, da nove spremembe ne bodo negativno vplivale na vključujoče zagotavljanje osnovnih storitev prebivalstvu, na varstvo človekovih pravic in demokracije ali podporo organizacijam civilne družbe;</w:t>
      </w:r>
    </w:p>
    <w:p w:rsidR="00E365E1" w:rsidRPr="006C02B8" w:rsidP="00CF232D" w14:paraId="56F8C7BD" w14:textId="29AC811A">
      <w:pPr>
        <w:ind w:left="567" w:hanging="567"/>
      </w:pPr>
      <w:r w:rsidRPr="006C02B8">
        <w:t>6.</w:t>
      </w:r>
      <w:r w:rsidRPr="006C02B8">
        <w:tab/>
        <w:t>naroči svoji predsednici, naj to resolucijo posreduje Svetu in Komisiji ter vladam in parlamentom držav članic.</w:t>
      </w:r>
    </w:p>
    <w:sectPr w:rsidSect="00B16AE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0117DF6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292C20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385E201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26CE" w:rsidRPr="00B16AE4" w14:paraId="0D2473BF" w14:textId="77777777">
      <w:r w:rsidRPr="00B16AE4">
        <w:separator/>
      </w:r>
    </w:p>
  </w:footnote>
  <w:footnote w:type="continuationSeparator" w:id="1">
    <w:p w:rsidR="006F26CE" w:rsidRPr="00B16AE4" w14:paraId="254C0927" w14:textId="77777777">
      <w:r w:rsidRPr="00B16AE4">
        <w:continuationSeparator/>
      </w:r>
    </w:p>
  </w:footnote>
  <w:footnote w:id="2">
    <w:p w:rsidR="008E77C5" w:rsidRPr="00B16AE4" w:rsidP="00B16AE4" w14:paraId="60D1C4D4" w14:textId="2BC42356">
      <w:pPr>
        <w:pStyle w:val="FootnoteText"/>
        <w:ind w:left="567" w:hanging="567"/>
        <w:rPr>
          <w:sz w:val="24"/>
          <w:lang w:val="sl-SI"/>
        </w:rPr>
      </w:pPr>
      <w:r w:rsidRPr="00B16AE4">
        <w:rPr>
          <w:rStyle w:val="FootnoteReference"/>
          <w:sz w:val="24"/>
          <w:lang w:val="sl-SI"/>
        </w:rPr>
        <w:footnoteRef/>
      </w:r>
      <w:r w:rsidRPr="00B16AE4" w:rsidR="00B16AE4">
        <w:rPr>
          <w:sz w:val="24"/>
          <w:lang w:val="sl-SI"/>
        </w:rPr>
        <w:t xml:space="preserve"> </w:t>
      </w:r>
      <w:r w:rsidRPr="00B16AE4" w:rsidR="00B16AE4">
        <w:rPr>
          <w:sz w:val="24"/>
          <w:lang w:val="sl-SI"/>
        </w:rPr>
        <w:tab/>
      </w:r>
      <w:r w:rsidRPr="00B16AE4">
        <w:rPr>
          <w:sz w:val="24"/>
          <w:lang w:val="sl-SI"/>
        </w:rPr>
        <w:t xml:space="preserve">UL L 209, 14.6.2021, str. 1, ELI: </w:t>
      </w:r>
      <w:hyperlink r:id="rId1" w:tgtFrame="http://data.europa.eu/eli/reg/2021/947/oj" w:history="1">
        <w:r w:rsidRPr="00B16AE4">
          <w:rPr>
            <w:rStyle w:val="Hyperlink"/>
            <w:sz w:val="24"/>
            <w:lang w:val="sl-SI"/>
          </w:rPr>
          <w:t>http://data.europa.eu/eli/reg/2021/947/oj.</w:t>
        </w:r>
      </w:hyperlink>
    </w:p>
  </w:footnote>
  <w:footnote w:id="3">
    <w:p w:rsidR="008E77C5" w:rsidRPr="00B16AE4" w:rsidP="00B16AE4" w14:paraId="6A78D6F9" w14:textId="61D4CF8C">
      <w:pPr>
        <w:pStyle w:val="FootnoteText"/>
        <w:ind w:left="567" w:hanging="567"/>
        <w:rPr>
          <w:sz w:val="24"/>
          <w:lang w:val="sl-SI"/>
        </w:rPr>
      </w:pPr>
      <w:r w:rsidRPr="00B16AE4">
        <w:rPr>
          <w:rStyle w:val="FootnoteReference"/>
          <w:sz w:val="24"/>
          <w:lang w:val="sl-SI"/>
        </w:rPr>
        <w:footnoteRef/>
      </w:r>
      <w:r w:rsidRPr="00B16AE4" w:rsidR="00B16AE4">
        <w:rPr>
          <w:sz w:val="24"/>
          <w:lang w:val="sl-SI"/>
        </w:rPr>
        <w:t xml:space="preserve"> </w:t>
      </w:r>
      <w:r w:rsidRPr="00B16AE4" w:rsidR="00B16AE4">
        <w:rPr>
          <w:sz w:val="24"/>
          <w:lang w:val="sl-SI"/>
        </w:rPr>
        <w:tab/>
      </w:r>
      <w:r w:rsidRPr="00B16AE4">
        <w:rPr>
          <w:sz w:val="24"/>
          <w:lang w:val="sl-SI"/>
        </w:rPr>
        <w:t xml:space="preserve">UL L 55, 28.2.2011, str. 13, ELI: </w:t>
      </w:r>
      <w:hyperlink r:id="rId2" w:tooltip="http://data.europa.eu/eli/reg/2011/182/oj" w:history="1">
        <w:r w:rsidRPr="00B16AE4">
          <w:rPr>
            <w:rStyle w:val="Hyperlink"/>
            <w:sz w:val="24"/>
            <w:lang w:val="sl-SI"/>
          </w:rPr>
          <w:t>http://data.europa.eu/eli/reg/2011/182/oj</w:t>
        </w:r>
      </w:hyperlink>
      <w:r w:rsidRPr="00B16AE4">
        <w:rPr>
          <w:sz w:val="24"/>
          <w:lang w:val="sl-SI"/>
        </w:rPr>
        <w:t>.</w:t>
      </w:r>
    </w:p>
  </w:footnote>
  <w:footnote w:id="4">
    <w:p w:rsidR="008E77C5" w:rsidRPr="00B16AE4" w:rsidP="00B16AE4" w14:paraId="38DC061E" w14:textId="501F9C67">
      <w:pPr>
        <w:pStyle w:val="FootnoteText"/>
        <w:ind w:left="567" w:hanging="567"/>
        <w:rPr>
          <w:sz w:val="24"/>
          <w:lang w:val="sl-SI"/>
        </w:rPr>
      </w:pPr>
      <w:r w:rsidRPr="00B16AE4">
        <w:rPr>
          <w:rStyle w:val="FootnoteReference"/>
          <w:sz w:val="24"/>
          <w:lang w:val="sl-SI"/>
        </w:rPr>
        <w:footnoteRef/>
      </w:r>
      <w:r w:rsidRPr="00B16AE4" w:rsidR="00B16AE4">
        <w:rPr>
          <w:sz w:val="24"/>
          <w:lang w:val="sl-SI"/>
        </w:rPr>
        <w:t xml:space="preserve"> </w:t>
      </w:r>
      <w:r w:rsidRPr="00B16AE4" w:rsidR="00B16AE4">
        <w:rPr>
          <w:sz w:val="24"/>
          <w:lang w:val="sl-SI"/>
        </w:rPr>
        <w:tab/>
      </w:r>
      <w:r w:rsidRPr="00B16AE4">
        <w:rPr>
          <w:sz w:val="24"/>
          <w:lang w:val="sl-SI"/>
        </w:rPr>
        <w:t>Sprejeta besedila,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35D10A3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0FD92AB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16AE4" w14:paraId="73546B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6619971">
    <w:abstractNumId w:val="9"/>
  </w:num>
  <w:num w:numId="2" w16cid:durableId="2046903542">
    <w:abstractNumId w:val="9"/>
  </w:num>
  <w:num w:numId="3" w16cid:durableId="1004821657">
    <w:abstractNumId w:val="7"/>
  </w:num>
  <w:num w:numId="4" w16cid:durableId="225803172">
    <w:abstractNumId w:val="7"/>
  </w:num>
  <w:num w:numId="5" w16cid:durableId="1395158988">
    <w:abstractNumId w:val="6"/>
  </w:num>
  <w:num w:numId="6" w16cid:durableId="1237279163">
    <w:abstractNumId w:val="6"/>
  </w:num>
  <w:num w:numId="7" w16cid:durableId="956643673">
    <w:abstractNumId w:val="5"/>
  </w:num>
  <w:num w:numId="8" w16cid:durableId="83114833">
    <w:abstractNumId w:val="5"/>
  </w:num>
  <w:num w:numId="9" w16cid:durableId="787243189">
    <w:abstractNumId w:val="4"/>
  </w:num>
  <w:num w:numId="10" w16cid:durableId="1348020754">
    <w:abstractNumId w:val="4"/>
  </w:num>
  <w:num w:numId="11" w16cid:durableId="1249539274">
    <w:abstractNumId w:val="8"/>
  </w:num>
  <w:num w:numId="12" w16cid:durableId="579678496">
    <w:abstractNumId w:val="8"/>
  </w:num>
  <w:num w:numId="13" w16cid:durableId="1145050634">
    <w:abstractNumId w:val="3"/>
  </w:num>
  <w:num w:numId="14" w16cid:durableId="1033962442">
    <w:abstractNumId w:val="3"/>
  </w:num>
  <w:num w:numId="15" w16cid:durableId="1926724861">
    <w:abstractNumId w:val="2"/>
  </w:num>
  <w:num w:numId="16" w16cid:durableId="1242447852">
    <w:abstractNumId w:val="2"/>
  </w:num>
  <w:num w:numId="17" w16cid:durableId="1350596414">
    <w:abstractNumId w:val="1"/>
  </w:num>
  <w:num w:numId="18" w16cid:durableId="2089038654">
    <w:abstractNumId w:val="1"/>
  </w:num>
  <w:num w:numId="19" w16cid:durableId="588274455">
    <w:abstractNumId w:val="0"/>
  </w:num>
  <w:num w:numId="20" w16cid:durableId="1234925020">
    <w:abstractNumId w:val="0"/>
  </w:num>
  <w:num w:numId="21" w16cid:durableId="1963803861">
    <w:abstractNumId w:val="9"/>
  </w:num>
  <w:num w:numId="22" w16cid:durableId="575676620">
    <w:abstractNumId w:val="7"/>
  </w:num>
  <w:num w:numId="23" w16cid:durableId="72818879">
    <w:abstractNumId w:val="6"/>
  </w:num>
  <w:num w:numId="24" w16cid:durableId="2055957484">
    <w:abstractNumId w:val="5"/>
  </w:num>
  <w:num w:numId="25" w16cid:durableId="66654412">
    <w:abstractNumId w:val="4"/>
  </w:num>
  <w:num w:numId="26" w16cid:durableId="39280766">
    <w:abstractNumId w:val="8"/>
  </w:num>
  <w:num w:numId="27" w16cid:durableId="1851794027">
    <w:abstractNumId w:val="3"/>
  </w:num>
  <w:num w:numId="28" w16cid:durableId="9181158">
    <w:abstractNumId w:val="2"/>
  </w:num>
  <w:num w:numId="29" w16cid:durableId="515118859">
    <w:abstractNumId w:val="1"/>
  </w:num>
  <w:num w:numId="30" w16cid:durableId="279340763">
    <w:abstractNumId w:val="0"/>
  </w:num>
  <w:num w:numId="31" w16cid:durableId="1205019706">
    <w:abstractNumId w:val="9"/>
  </w:num>
  <w:num w:numId="32" w16cid:durableId="1695374799">
    <w:abstractNumId w:val="7"/>
  </w:num>
  <w:num w:numId="33" w16cid:durableId="384990091">
    <w:abstractNumId w:val="6"/>
  </w:num>
  <w:num w:numId="34" w16cid:durableId="772869726">
    <w:abstractNumId w:val="5"/>
  </w:num>
  <w:num w:numId="35" w16cid:durableId="757095816">
    <w:abstractNumId w:val="4"/>
  </w:num>
  <w:num w:numId="36" w16cid:durableId="401635690">
    <w:abstractNumId w:val="8"/>
  </w:num>
  <w:num w:numId="37" w16cid:durableId="552275520">
    <w:abstractNumId w:val="3"/>
  </w:num>
  <w:num w:numId="38" w16cid:durableId="971251868">
    <w:abstractNumId w:val="2"/>
  </w:num>
  <w:num w:numId="39" w16cid:durableId="1642156517">
    <w:abstractNumId w:val="1"/>
  </w:num>
  <w:num w:numId="40" w16cid:durableId="1348949480">
    <w:abstractNumId w:val="0"/>
  </w:num>
  <w:num w:numId="41" w16cid:durableId="1047610343">
    <w:abstractNumId w:val="10"/>
  </w:num>
  <w:num w:numId="42" w16cid:durableId="1634099608">
    <w:abstractNumId w:val="10"/>
  </w:num>
  <w:num w:numId="43" w16cid:durableId="2017152620">
    <w:abstractNumId w:val="10"/>
  </w:num>
  <w:num w:numId="44" w16cid:durableId="2037925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C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C2568"/>
    <w:rsid w:val="005F1B17"/>
    <w:rsid w:val="006037C0"/>
    <w:rsid w:val="006631B6"/>
    <w:rsid w:val="00680577"/>
    <w:rsid w:val="006A2EB1"/>
    <w:rsid w:val="006C02B8"/>
    <w:rsid w:val="006F26CE"/>
    <w:rsid w:val="006F7306"/>
    <w:rsid w:val="006F74FA"/>
    <w:rsid w:val="00731ADD"/>
    <w:rsid w:val="00734777"/>
    <w:rsid w:val="00747932"/>
    <w:rsid w:val="00751A4A"/>
    <w:rsid w:val="00756632"/>
    <w:rsid w:val="00762C74"/>
    <w:rsid w:val="00786EC0"/>
    <w:rsid w:val="007C3A93"/>
    <w:rsid w:val="007D1690"/>
    <w:rsid w:val="007E22AD"/>
    <w:rsid w:val="00817416"/>
    <w:rsid w:val="00842779"/>
    <w:rsid w:val="00865F67"/>
    <w:rsid w:val="00881A7B"/>
    <w:rsid w:val="008840E5"/>
    <w:rsid w:val="00887B3E"/>
    <w:rsid w:val="008C2AC6"/>
    <w:rsid w:val="008E77C5"/>
    <w:rsid w:val="00930C23"/>
    <w:rsid w:val="0093193B"/>
    <w:rsid w:val="009509D8"/>
    <w:rsid w:val="00950B64"/>
    <w:rsid w:val="00981893"/>
    <w:rsid w:val="00993B58"/>
    <w:rsid w:val="00A1687D"/>
    <w:rsid w:val="00A43E52"/>
    <w:rsid w:val="00A4678D"/>
    <w:rsid w:val="00A778C7"/>
    <w:rsid w:val="00AB441E"/>
    <w:rsid w:val="00AB6293"/>
    <w:rsid w:val="00AE0928"/>
    <w:rsid w:val="00AF3B82"/>
    <w:rsid w:val="00B12E95"/>
    <w:rsid w:val="00B16AE4"/>
    <w:rsid w:val="00B22876"/>
    <w:rsid w:val="00B362B3"/>
    <w:rsid w:val="00B558F0"/>
    <w:rsid w:val="00BD48FE"/>
    <w:rsid w:val="00BD7BD8"/>
    <w:rsid w:val="00BE6ADC"/>
    <w:rsid w:val="00C05BFE"/>
    <w:rsid w:val="00C23CD4"/>
    <w:rsid w:val="00C61C0C"/>
    <w:rsid w:val="00C941CB"/>
    <w:rsid w:val="00CC2357"/>
    <w:rsid w:val="00CF071A"/>
    <w:rsid w:val="00CF232D"/>
    <w:rsid w:val="00D058B8"/>
    <w:rsid w:val="00D56C11"/>
    <w:rsid w:val="00D834A0"/>
    <w:rsid w:val="00D872DF"/>
    <w:rsid w:val="00D91E21"/>
    <w:rsid w:val="00DA7FCD"/>
    <w:rsid w:val="00E365E1"/>
    <w:rsid w:val="00E820A4"/>
    <w:rsid w:val="00E84A96"/>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SL"/>
    <w:docVar w:name="dvnumam" w:val="0"/>
    <w:docVar w:name="dvpe" w:val="789.144"/>
    <w:docVar w:name="dvtitre" w:val="Resolucija Evropskega parlamenta z dne xx. junija 2026 o osnutku izvedbenega sklepa Komisije o financiranju letnega akcijskega načrta v korist Združene republike Tanzanije za leto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DC6ECC"/>
  <w15:chartTrackingRefBased/>
  <w15:docId w15:val="{AC1C3DD8-464E-460D-B5FF-46D0F7C6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77C5"/>
    <w:pPr>
      <w:spacing w:before="480" w:after="240"/>
    </w:pPr>
  </w:style>
  <w:style w:type="paragraph" w:customStyle="1" w:styleId="NormalHanging12a">
    <w:name w:val="NormalHanging12a"/>
    <w:basedOn w:val="Normal"/>
    <w:rsid w:val="008E77C5"/>
    <w:pPr>
      <w:spacing w:after="240"/>
      <w:ind w:left="567" w:hanging="567"/>
    </w:pPr>
  </w:style>
  <w:style w:type="character" w:styleId="Hyperlink">
    <w:name w:val="Hyperlink"/>
    <w:basedOn w:val="DefaultParagraphFont"/>
    <w:rsid w:val="008E77C5"/>
    <w:rPr>
      <w:color w:val="0563C1" w:themeColor="hyperlink"/>
      <w:u w:val="single"/>
    </w:rPr>
  </w:style>
  <w:style w:type="paragraph" w:styleId="Revision">
    <w:name w:val="Revision"/>
    <w:hidden/>
    <w:uiPriority w:val="99"/>
    <w:semiHidden/>
    <w:rsid w:val="006F730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741</Words>
  <Characters>4531</Characters>
  <Application>Microsoft Office Word</Application>
  <DocSecurity>0</DocSecurity>
  <Lines>137</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2026-07-14T10:32:00Z</dcterms:created>
  <dcterms:modified xsi:type="dcterms:W3CDTF">2026-07-14T10:32:00Z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B10-0273/2026</vt:lpwstr>
  </property>
  <property fmtid="{D5CDD505-2E9C-101B-9397-08002B2CF9AE}" pid="4" name="&lt;Type&gt;">
    <vt:lpwstr>RR</vt:lpwstr>
  </property>
</Properties>
</file>