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B1881A0" w14:textId="77777777" w:rsidTr="0010095E">
        <w:tblPrEx>
          <w:tblW w:w="9072" w:type="dxa"/>
          <w:tblLook w:val="01E0"/>
        </w:tblPrEx>
        <w:trPr>
          <w:trHeight w:hRule="exact" w:val="1418"/>
        </w:trPr>
        <w:tc>
          <w:tcPr>
            <w:tcW w:w="6804" w:type="dxa"/>
            <w:shd w:val="clear" w:color="auto" w:fill="auto"/>
            <w:vAlign w:val="center"/>
          </w:tcPr>
          <w:p w:rsidR="00751A4A" w:rsidRPr="00241E95" w:rsidP="0010095E" w14:paraId="18F00E1F" w14:textId="77777777">
            <w:pPr>
              <w:pStyle w:val="EPName"/>
            </w:pPr>
            <w:r w:rsidRPr="00241E95">
              <w:t>Europaparlamentet</w:t>
            </w:r>
          </w:p>
          <w:p w:rsidR="00751A4A" w:rsidRPr="00241E95" w:rsidP="005F1B17" w14:paraId="4C5A8D89" w14:textId="77777777">
            <w:pPr>
              <w:pStyle w:val="EPTerm"/>
              <w:rPr>
                <w:rStyle w:val="HideTWBExt"/>
                <w:noProof w:val="0"/>
                <w:vanish w:val="0"/>
                <w:color w:val="auto"/>
              </w:rPr>
            </w:pPr>
            <w:r w:rsidRPr="00241E95">
              <w:t>2024</w:t>
            </w:r>
            <w:r w:rsidRPr="00241E95" w:rsidR="00817416">
              <w:t>-202</w:t>
            </w:r>
            <w:r w:rsidRPr="00241E95">
              <w:t>9</w:t>
            </w:r>
          </w:p>
        </w:tc>
        <w:tc>
          <w:tcPr>
            <w:tcW w:w="2268" w:type="dxa"/>
            <w:shd w:val="clear" w:color="auto" w:fill="auto"/>
          </w:tcPr>
          <w:p w:rsidR="00751A4A" w:rsidRPr="00241E95" w:rsidP="0010095E" w14:paraId="48F49C2F" w14:textId="77777777">
            <w:pPr>
              <w:pStyle w:val="EPLogo"/>
            </w:pPr>
            <w:r w:rsidRPr="00241E9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41E95" w:rsidP="004C5D52" w14:paraId="2631CD10" w14:textId="77777777">
      <w:pPr>
        <w:pStyle w:val="LineTop"/>
      </w:pPr>
    </w:p>
    <w:p w:rsidR="00680577" w:rsidRPr="00241E95" w:rsidP="00680577" w14:paraId="5F94B50E" w14:textId="77777777">
      <w:pPr>
        <w:pStyle w:val="EPBodyTA1"/>
      </w:pPr>
      <w:r w:rsidRPr="00241E95">
        <w:t>ANTAGNA TEXTER</w:t>
      </w:r>
    </w:p>
    <w:p w:rsidR="00D058B8" w:rsidRPr="00241E95" w:rsidP="00D058B8" w14:paraId="66F2B68C" w14:textId="77777777">
      <w:pPr>
        <w:pStyle w:val="LineBottom"/>
      </w:pPr>
    </w:p>
    <w:p w:rsidR="00F96171" w:rsidRPr="00241E95" w:rsidP="00F96171" w14:paraId="0851F83F" w14:textId="7A27FE40">
      <w:pPr>
        <w:pStyle w:val="ATHeading1"/>
      </w:pPr>
      <w:bookmarkStart w:id="0" w:name="TANumber"/>
      <w:r w:rsidRPr="00241E95">
        <w:t>P10_TA(2026)0</w:t>
      </w:r>
      <w:bookmarkEnd w:id="0"/>
      <w:r w:rsidR="00153B87">
        <w:t>232</w:t>
      </w:r>
    </w:p>
    <w:p w:rsidR="00F96171" w:rsidRPr="00241E95" w:rsidP="00F96171" w14:paraId="4BAD4521" w14:textId="1814DDC9">
      <w:pPr>
        <w:pStyle w:val="ATHeading2"/>
      </w:pPr>
      <w:bookmarkStart w:id="1" w:name="title"/>
      <w:r>
        <w:t>F</w:t>
      </w:r>
      <w:r w:rsidRPr="00241E95">
        <w:t>inansiering av den årliga handlingsplanen till förmån för Förenade republiken Tanzania för 2026</w:t>
      </w:r>
      <w:bookmarkEnd w:id="1"/>
    </w:p>
    <w:p w:rsidR="00F96171" w:rsidRPr="00241E95" w:rsidP="00F96171" w14:paraId="5141DE53" w14:textId="77777777">
      <w:pPr>
        <w:rPr>
          <w:i/>
          <w:vanish/>
        </w:rPr>
      </w:pPr>
      <w:r>
        <w:rPr>
          <w:i/>
        </w:rPr>
        <w:fldChar w:fldCharType="begin"/>
      </w:r>
      <w:r w:rsidRPr="00241E95">
        <w:rPr>
          <w:i/>
        </w:rPr>
        <w:instrText xml:space="preserve"> TC"(</w:instrText>
      </w:r>
      <w:bookmarkStart w:id="2" w:name="DocNumber"/>
      <w:r w:rsidRPr="00241E95">
        <w:rPr>
          <w:i/>
        </w:rPr>
        <w:instrText>B10-0273/2026</w:instrText>
      </w:r>
      <w:bookmarkEnd w:id="2"/>
      <w:r w:rsidRPr="00241E95">
        <w:rPr>
          <w:i/>
        </w:rPr>
        <w:instrText xml:space="preserve">)"\l3 \n&gt; \* MERGEFORMAT </w:instrText>
      </w:r>
      <w:r>
        <w:rPr>
          <w:i/>
        </w:rPr>
        <w:fldChar w:fldCharType="end"/>
      </w:r>
    </w:p>
    <w:p w:rsidR="00F96171" w:rsidRPr="00241E95" w:rsidP="00F96171" w14:paraId="66FB0019" w14:textId="77777777">
      <w:pPr>
        <w:rPr>
          <w:vanish/>
        </w:rPr>
      </w:pPr>
      <w:bookmarkStart w:id="3" w:name="PE"/>
      <w:r w:rsidRPr="00241E95">
        <w:rPr>
          <w:vanish/>
        </w:rPr>
        <w:t>PE789.144</w:t>
      </w:r>
      <w:bookmarkEnd w:id="3"/>
    </w:p>
    <w:p w:rsidR="00F96171" w:rsidRPr="00241E95" w:rsidP="00F96171" w14:paraId="463FB924" w14:textId="330555CF">
      <w:pPr>
        <w:pStyle w:val="ATHeading3"/>
      </w:pPr>
      <w:bookmarkStart w:id="4" w:name="Sujet"/>
      <w:r w:rsidRPr="00241E95">
        <w:t xml:space="preserve">Europaparlamentets resolution av den </w:t>
      </w:r>
      <w:r w:rsidR="00B442B1">
        <w:t>18</w:t>
      </w:r>
      <w:r w:rsidRPr="00241E95" w:rsidR="00B442B1">
        <w:t xml:space="preserve"> </w:t>
      </w:r>
      <w:r w:rsidR="00B442B1">
        <w:t>juni</w:t>
      </w:r>
      <w:r w:rsidRPr="00241E95" w:rsidR="00B442B1">
        <w:t xml:space="preserve"> </w:t>
      </w:r>
      <w:r w:rsidRPr="00241E95">
        <w:t>2026 om utkastet till kommissionens genomförandebeslut om finansieringen av den årliga handlingsplanen till förmån för Förenade republiken Tanzania för 2026</w:t>
      </w:r>
      <w:bookmarkEnd w:id="4"/>
      <w:r w:rsidRPr="00241E95">
        <w:t xml:space="preserve"> </w:t>
      </w:r>
      <w:bookmarkStart w:id="5" w:name="References"/>
      <w:r w:rsidRPr="00241E95">
        <w:t>(D115284/01 – 2026/2749(RSP))</w:t>
      </w:r>
      <w:bookmarkEnd w:id="5"/>
    </w:p>
    <w:p w:rsidR="00C00DA8" w:rsidRPr="00241E95" w:rsidP="00C00DA8" w14:paraId="0D544590" w14:textId="77777777">
      <w:pPr>
        <w:pStyle w:val="EPComma"/>
      </w:pPr>
      <w:bookmarkStart w:id="6" w:name="TextBodyBegin"/>
      <w:bookmarkEnd w:id="6"/>
      <w:r w:rsidRPr="00241E95">
        <w:rPr>
          <w:i/>
          <w:iCs/>
        </w:rPr>
        <w:t>Europaparlamentet utfärdar denna resolution</w:t>
      </w:r>
    </w:p>
    <w:p w:rsidR="00C00DA8" w:rsidRPr="00241E95" w:rsidP="00C00DA8" w14:paraId="74FD6692" w14:textId="77777777">
      <w:pPr>
        <w:pStyle w:val="NormalHanging12a"/>
      </w:pPr>
      <w:r w:rsidRPr="00241E95">
        <w:t>–</w:t>
      </w:r>
      <w:r w:rsidRPr="00241E95">
        <w:tab/>
        <w:t>med beaktande av utkastet till kommissionens genomförandebeslut om finansieringen av den årliga handlingsplanen till förmån för Förenade republiken Tanzania för 2026 (D115284/01),</w:t>
      </w:r>
    </w:p>
    <w:p w:rsidR="00C00DA8" w:rsidRPr="00241E95" w:rsidP="00C00DA8" w14:paraId="3854F742" w14:textId="77777777">
      <w:pPr>
        <w:pStyle w:val="NormalHanging12a"/>
      </w:pPr>
      <w:r w:rsidRPr="00241E95">
        <w:t>–</w:t>
      </w:r>
      <w:r w:rsidRPr="00241E95">
        <w:tab/>
        <w:t>med beaktande av Europaparlamentets och rådets förordning (EU) 2021/947 av den 9 juni 2021 om inrättande av instrumentet för grannskapet, utvecklingssamarbete och internationellt samarbete – Europa i världen – om ändring och upphävande av Europaparlamentets och rådets beslut nr 466/2014/EU och om upphävande av Europaparlamentets och rådets förordning (EU) 2017/1601 och rådets förordning (EG, Euratom) nr 480/2009</w:t>
      </w:r>
      <w:r>
        <w:rPr>
          <w:vertAlign w:val="superscript"/>
        </w:rPr>
        <w:footnoteReference w:id="2"/>
      </w:r>
      <w:r w:rsidRPr="00241E95">
        <w:t xml:space="preserve"> (</w:t>
      </w:r>
      <w:r w:rsidRPr="00241E95">
        <w:rPr>
          <w:i/>
          <w:iCs/>
        </w:rPr>
        <w:t>förordningen om instrumentet Europa i världen</w:t>
      </w:r>
      <w:r w:rsidRPr="00241E95">
        <w:t>), särskilt artikel 25,</w:t>
      </w:r>
    </w:p>
    <w:p w:rsidR="00C00DA8" w:rsidRPr="00241E95" w:rsidP="00C00DA8" w14:paraId="2E9E8182" w14:textId="77777777">
      <w:pPr>
        <w:pStyle w:val="NormalHanging12a"/>
      </w:pPr>
      <w:r w:rsidRPr="00241E95">
        <w:t>–</w:t>
      </w:r>
      <w:r w:rsidRPr="00241E95">
        <w:tab/>
        <w:t>med beaktande av yttrandet av den 20 maj 2026 från den kommitté som avses i artikel 45 i förordning (EU) 2021/947,</w:t>
      </w:r>
    </w:p>
    <w:p w:rsidR="00C00DA8" w:rsidRPr="00241E95" w:rsidP="00C00DA8" w14:paraId="11DB2C99" w14:textId="77777777">
      <w:pPr>
        <w:pStyle w:val="NormalHanging12a"/>
      </w:pPr>
      <w:r w:rsidRPr="00241E95">
        <w:t>–</w:t>
      </w:r>
      <w:r w:rsidRPr="00241E95">
        <w:tab/>
        <w:t>med beaktande av artikel 11 i Europaparlamentets och rådets förordning (EU) nr 182/2011 av den 16 februari 2011 om fastställande av allmänna regler och principer för medlemsstaternas kontroll av kommissionens utövande av sina genomförandebefogenheter</w:t>
      </w:r>
      <w:r>
        <w:rPr>
          <w:vertAlign w:val="superscript"/>
        </w:rPr>
        <w:footnoteReference w:id="3"/>
      </w:r>
      <w:r w:rsidRPr="00241E95">
        <w:t>,</w:t>
      </w:r>
    </w:p>
    <w:p w:rsidR="00C00DA8" w:rsidRPr="00241E95" w:rsidP="00C00DA8" w14:paraId="204AB14A" w14:textId="1D4A8977">
      <w:pPr>
        <w:pStyle w:val="NormalHanging12a"/>
      </w:pPr>
      <w:r w:rsidRPr="00241E95">
        <w:t>–</w:t>
      </w:r>
      <w:r w:rsidRPr="00241E95">
        <w:tab/>
        <w:t xml:space="preserve">med beaktande av Europaparlamentets resolution av den 27 november </w:t>
      </w:r>
      <w:r w:rsidR="003576EB">
        <w:t xml:space="preserve">2025 </w:t>
      </w:r>
      <w:r w:rsidRPr="00241E95">
        <w:t>om utkastet till kommissionens genomförandebeslut om finansieringen av den årliga handlingsplanen till förmån för Förenade republiken Tanzania för 2025</w:t>
      </w:r>
      <w:r>
        <w:rPr>
          <w:vertAlign w:val="superscript"/>
        </w:rPr>
        <w:footnoteReference w:id="4"/>
      </w:r>
      <w:r w:rsidRPr="00241E95">
        <w:t>,</w:t>
      </w:r>
    </w:p>
    <w:p w:rsidR="00C00DA8" w:rsidRPr="00241E95" w:rsidP="00C00DA8" w14:paraId="6C803733" w14:textId="77777777">
      <w:pPr>
        <w:pStyle w:val="NormalHanging12a"/>
      </w:pPr>
      <w:r w:rsidRPr="00241E95">
        <w:t>–</w:t>
      </w:r>
      <w:r w:rsidRPr="00241E95">
        <w:tab/>
        <w:t xml:space="preserve">med beaktande av Europaparlamentets resolution av den 27 november 2025 om dödandet efter valet och den försämrade människorättssituationen i Tanzania, inbegripet </w:t>
      </w:r>
      <w:r w:rsidRPr="00241E95">
        <w:t>fallet med den fängslade oppositionsledaren Tundu Lissu,</w:t>
      </w:r>
    </w:p>
    <w:p w:rsidR="00C00DA8" w:rsidRPr="00241E95" w:rsidP="00C00DA8" w14:paraId="0DD29F22" w14:textId="77777777">
      <w:pPr>
        <w:pStyle w:val="NormalHanging12a"/>
      </w:pPr>
      <w:r w:rsidRPr="00241E95">
        <w:t>–</w:t>
      </w:r>
      <w:r w:rsidRPr="00241E95">
        <w:tab/>
        <w:t>med beaktande av Europaparlamentets resolution av den 8 maj 2025 om gripandet och risken för avrättning av Tundu Lissu, ordförande för Chadema, det största oppositionspartiet i Tanzania,</w:t>
      </w:r>
    </w:p>
    <w:p w:rsidR="00C00DA8" w:rsidRPr="00241E95" w:rsidP="00C00DA8" w14:paraId="642F9BB7" w14:textId="77777777">
      <w:pPr>
        <w:pStyle w:val="NormalHanging12a"/>
      </w:pPr>
      <w:r w:rsidRPr="00241E95">
        <w:t>–</w:t>
      </w:r>
      <w:r w:rsidRPr="00241E95">
        <w:tab/>
        <w:t>med beaktande av artikel 115.2 och 115.3 i arbetsordningen,</w:t>
      </w:r>
    </w:p>
    <w:p w:rsidR="00C00DA8" w:rsidRPr="00241E95" w:rsidP="00C00DA8" w14:paraId="11759672" w14:textId="77777777">
      <w:pPr>
        <w:pStyle w:val="NormalHanging12a"/>
      </w:pPr>
      <w:r w:rsidRPr="00241E95">
        <w:t>–</w:t>
      </w:r>
      <w:r w:rsidRPr="00241E95">
        <w:tab/>
        <w:t>med beaktande av den gemensamma behandlingen av ärendet i utskottet för utrikesfrågor och utskottet för utveckling, i enlighet med artikel 59 i arbetsordningen,</w:t>
      </w:r>
    </w:p>
    <w:p w:rsidR="00C00DA8" w:rsidRPr="00241E95" w:rsidP="00C00DA8" w14:paraId="67195A85" w14:textId="77777777">
      <w:pPr>
        <w:pStyle w:val="NormalHanging12a"/>
      </w:pPr>
      <w:r w:rsidRPr="00241E95">
        <w:t>–</w:t>
      </w:r>
      <w:r w:rsidRPr="00241E95">
        <w:tab/>
        <w:t>med beaktande av förslaget till resolution från utskottet för utrikesfrågor och utskottet för utveckling, och av följande skäl:</w:t>
      </w:r>
    </w:p>
    <w:p w:rsidR="00C00DA8" w:rsidRPr="00241E95" w:rsidP="00C00DA8" w14:paraId="52B2889E" w14:textId="77777777">
      <w:pPr>
        <w:pStyle w:val="NormalHanging12a"/>
      </w:pPr>
      <w:r w:rsidRPr="00241E95">
        <w:t>A.</w:t>
      </w:r>
      <w:r w:rsidRPr="00241E95">
        <w:tab/>
        <w:t>I november 2025 avbröt kommissionen förfarandet för antagande av utkastet till genomförandebeslut om finansieringen av den årliga handlingsplanen till förmån för Förenade republiken Tanzania för 2025 på grund av farhågor som uttryckts av Europaparlamentet.</w:t>
      </w:r>
    </w:p>
    <w:p w:rsidR="00C00DA8" w:rsidRPr="00241E95" w:rsidP="00C00DA8" w14:paraId="262FE93F" w14:textId="77777777">
      <w:pPr>
        <w:pStyle w:val="NormalHanging12a"/>
      </w:pPr>
      <w:r w:rsidRPr="00241E95">
        <w:t>B.</w:t>
      </w:r>
      <w:r w:rsidRPr="00241E95">
        <w:tab/>
        <w:t>Den 20 maj 2026 lades det reviderade utkastet till kommissionens genomförandebeslut fram för kommittén för instrumentet för grannskapet, utvecklingssamarbete och internationellt samarbete.</w:t>
      </w:r>
    </w:p>
    <w:p w:rsidR="00C00DA8" w:rsidRPr="00241E95" w:rsidP="00C00DA8" w14:paraId="1713D32E" w14:textId="77777777">
      <w:pPr>
        <w:pStyle w:val="NormalHanging12a"/>
      </w:pPr>
      <w:r w:rsidRPr="00241E95">
        <w:t>C.</w:t>
      </w:r>
      <w:r w:rsidRPr="00241E95">
        <w:tab/>
        <w:t>I det reviderade utkastet till kommissionens genomförandebeslut bibehålls samma totala belopp och i stort sett samma åtgärder som i föregående utkast till beslut samt föreslås att genomförandet främst bör ske genom indirekt förvaltning snarare än i form av direkt budgetstöd till Tanzanias myndigheter.</w:t>
      </w:r>
    </w:p>
    <w:p w:rsidR="00C00DA8" w:rsidRPr="00241E95" w:rsidP="00C00DA8" w14:paraId="6E995583" w14:textId="77777777">
      <w:pPr>
        <w:pStyle w:val="NormalHanging12a"/>
      </w:pPr>
      <w:r w:rsidRPr="00241E95">
        <w:t>D.</w:t>
      </w:r>
      <w:r w:rsidRPr="00241E95">
        <w:tab/>
        <w:t xml:space="preserve">Tanzanias nationella undersökningskommission har undersökt våldsamheterna i samband med valet den 29 oktober 2025 och konstaterade den 23 april 2026 att minst 518 personer hade dött, men underlät att identifiera de ansvariga och försvårade därmed ansvarsskyldighet och rättvisa för offren, och offentliggjorde inte sina slutsatser. </w:t>
      </w:r>
    </w:p>
    <w:p w:rsidR="00C00DA8" w:rsidRPr="00241E95" w:rsidP="00C00DA8" w14:paraId="0B727F93" w14:textId="77777777">
      <w:pPr>
        <w:pStyle w:val="NormalHanging12a"/>
      </w:pPr>
      <w:r w:rsidRPr="00241E95">
        <w:t>E.</w:t>
      </w:r>
      <w:r w:rsidRPr="00241E95">
        <w:tab/>
        <w:t>Tanzanias myndigheter har avböjt besöket av en delegation från Europaparlamentets underutskott för mänskliga rättigheter i maj 2026.</w:t>
      </w:r>
    </w:p>
    <w:p w:rsidR="00C00DA8" w:rsidRPr="00241E95" w:rsidP="00C00DA8" w14:paraId="4294DCFB" w14:textId="77777777">
      <w:pPr>
        <w:pStyle w:val="NormalHanging12a"/>
      </w:pPr>
      <w:r w:rsidRPr="00241E95">
        <w:t>F.</w:t>
      </w:r>
      <w:r w:rsidRPr="00241E95">
        <w:tab/>
        <w:t>Tundu Lissu, ledare för Tanzanias största oppositionsparti Chadema, har suttit frihetsberövad i över ett år och står inför politiskt motiverade anklagelser som kan medföra allvarliga rättsliga konsekvenser, bland annat dödsstraff.</w:t>
      </w:r>
    </w:p>
    <w:p w:rsidR="00C00DA8" w:rsidRPr="00241E95" w:rsidP="00C00DA8" w14:paraId="63EE53F6" w14:textId="77777777">
      <w:pPr>
        <w:pStyle w:val="NormalHanging12a"/>
      </w:pPr>
      <w:r w:rsidRPr="00241E95">
        <w:t>G.</w:t>
      </w:r>
      <w:r w:rsidRPr="00241E95">
        <w:tab/>
        <w:t>Tanzanias regering har inte uppfyllt något av de krav som Europaparlamentet lade fram i sina resolutioner av den 8 maj och den 27 november 2025, såsom kraven på att oppositionsmedlemmar omedelbart och villkorslöst ska friges, människorättssituationen ska förbättras och en oberoende och opartisk internationell undersökningskommission ska inrättas för att utreda våldsamheterna efter valet.</w:t>
      </w:r>
    </w:p>
    <w:p w:rsidR="00C00DA8" w:rsidRPr="00241E95" w:rsidP="00C00DA8" w14:paraId="4917E8D9" w14:textId="77777777">
      <w:pPr>
        <w:pStyle w:val="NormalHanging12a"/>
      </w:pPr>
      <w:r w:rsidRPr="00241E95">
        <w:t>H.</w:t>
      </w:r>
      <w:r w:rsidRPr="00241E95">
        <w:tab/>
        <w:t>Kommissionen och Europeiska utrikestjänsten har inte på ett effektivt sätt visat att de har bemött de reella farhågor som ledde till invändningen i november 2025.</w:t>
      </w:r>
    </w:p>
    <w:p w:rsidR="00C00DA8" w:rsidRPr="00241E95" w:rsidP="00C00DA8" w14:paraId="354C9690" w14:textId="77777777">
      <w:pPr>
        <w:pStyle w:val="NormalHanging12a"/>
      </w:pPr>
      <w:r w:rsidRPr="00241E95">
        <w:t>1.</w:t>
      </w:r>
      <w:r w:rsidRPr="00241E95">
        <w:tab/>
        <w:t>Europaparlamentet anser att utkastet till kommissionens genomförandebeslut överskrider de genomförandebefogenheter som fastställs i förordning (EU) 2021/947.</w:t>
      </w:r>
    </w:p>
    <w:p w:rsidR="00C00DA8" w:rsidRPr="00241E95" w:rsidP="00C00DA8" w14:paraId="5638E1F6" w14:textId="77777777">
      <w:pPr>
        <w:pStyle w:val="NormalHanging12a"/>
      </w:pPr>
      <w:r w:rsidRPr="00241E95">
        <w:t>2.</w:t>
      </w:r>
      <w:r w:rsidRPr="00241E95">
        <w:tab/>
        <w:t>Europaparlamentet anser att utkastet till kommissionens genomförandebeslut inte överensstämmer med unionsrätten, eftersom det är oförenligt med syftet med förordning (EU) 2021/947.</w:t>
      </w:r>
    </w:p>
    <w:p w:rsidR="00C00DA8" w:rsidRPr="00241E95" w:rsidP="00C00DA8" w14:paraId="5F41776D" w14:textId="77777777">
      <w:pPr>
        <w:pStyle w:val="NormalHanging12a"/>
      </w:pPr>
      <w:r w:rsidRPr="00241E95">
        <w:t>3.</w:t>
      </w:r>
      <w:r w:rsidRPr="00241E95">
        <w:tab/>
        <w:t>Europaparlamentet anser att utkastet till kommissionens genomförandebeslut inte i tillräcklig mån beaktar de farhågor som Europaparlamentet uttryckte i sin resolution av den 27 november 2025.</w:t>
      </w:r>
    </w:p>
    <w:p w:rsidR="00C00DA8" w:rsidRPr="00241E95" w:rsidP="00C00DA8" w14:paraId="6D8F815D" w14:textId="77777777">
      <w:pPr>
        <w:pStyle w:val="NormalHanging12a"/>
      </w:pPr>
      <w:r w:rsidRPr="00241E95">
        <w:t>4.</w:t>
      </w:r>
      <w:r w:rsidRPr="00241E95">
        <w:tab/>
        <w:t>Europaparlamentet beklagar att kommissionen, ännu en gång, lät bli att avbryta förfarandet för antagande av utkastet till genomförandebeslut efter att ha informerats om Europaparlamentets farhågor. Parlamentet beklagar djupt att kommissionen och utrikestjänsten visar bristande hänsyn till de farhågor som Europaparlamentet uttryckt i sina resolutioner om Tanzania.</w:t>
      </w:r>
    </w:p>
    <w:p w:rsidR="00C00DA8" w:rsidRPr="00241E95" w:rsidP="00C00DA8" w14:paraId="3562B4C9" w14:textId="77777777">
      <w:pPr>
        <w:pStyle w:val="NormalHanging12a"/>
      </w:pPr>
      <w:r w:rsidRPr="00241E95">
        <w:t>5.</w:t>
      </w:r>
      <w:r w:rsidRPr="00241E95">
        <w:tab/>
        <w:t>Europaparlamentet uppmanar kommissionen att dra tillbaka sitt utkast till genomförandebeslut och att lägga fram ett nytt utkast för kommittén, och att samtidigt säkerställa att inga eventuella nya ändringar inverkar negativt på det inkluderande tillhandahållandet av grundläggande tjänster till befolkningen, skyddet av mänskliga rättigheter och demokratin eller stödet till organisationer i det civila samhället.</w:t>
      </w:r>
    </w:p>
    <w:p w:rsidR="00241E95" w:rsidRPr="00241E95" w:rsidP="00241E95" w14:paraId="26BE615B" w14:textId="4D64A30C">
      <w:pPr>
        <w:pStyle w:val="NormalHanging12a"/>
      </w:pPr>
      <w:r w:rsidRPr="00241E95">
        <w:t>6.</w:t>
      </w:r>
      <w:r w:rsidRPr="00241E95">
        <w:tab/>
        <w:t>Europaparlamentet uppdrar åt talmannen att översända denna resolution till rådet och kommissionen samt till medlemsstaternas regeringar och parlament.</w:t>
      </w:r>
    </w:p>
    <w:p w:rsidR="00E365E1" w:rsidRPr="00241E95" w:rsidP="00F96171" w14:paraId="09964F67" w14:textId="4D2D45B0"/>
    <w:sectPr w:rsidSect="00241E9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3C415BA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787A3C8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22C6B40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96171" w:rsidRPr="00241E95" w14:paraId="135007B9" w14:textId="77777777">
      <w:r w:rsidRPr="00241E95">
        <w:separator/>
      </w:r>
    </w:p>
  </w:footnote>
  <w:footnote w:type="continuationSeparator" w:id="1">
    <w:p w:rsidR="00F96171" w:rsidRPr="00241E95" w14:paraId="72E42EF7" w14:textId="77777777">
      <w:r w:rsidRPr="00241E95">
        <w:continuationSeparator/>
      </w:r>
    </w:p>
  </w:footnote>
  <w:footnote w:id="2">
    <w:p w:rsidR="00C00DA8" w:rsidRPr="001F23CA" w:rsidP="00241E95" w14:paraId="6FA7B823" w14:textId="5F503CAF">
      <w:pPr>
        <w:pStyle w:val="FootnoteText"/>
        <w:ind w:left="567" w:hanging="567"/>
        <w:rPr>
          <w:sz w:val="24"/>
          <w:szCs w:val="24"/>
          <w:lang w:val="fi-FI"/>
        </w:rPr>
      </w:pPr>
      <w:r w:rsidRPr="00241E95">
        <w:rPr>
          <w:rStyle w:val="FootnoteReference"/>
          <w:sz w:val="24"/>
          <w:lang w:val="sv-SE"/>
        </w:rPr>
        <w:footnoteRef/>
      </w:r>
      <w:r w:rsidRPr="001F23CA" w:rsidR="00241E95">
        <w:rPr>
          <w:sz w:val="24"/>
          <w:lang w:val="fi-FI"/>
        </w:rPr>
        <w:t xml:space="preserve"> </w:t>
      </w:r>
      <w:r w:rsidRPr="001F23CA" w:rsidR="00241E95">
        <w:rPr>
          <w:sz w:val="24"/>
          <w:lang w:val="fi-FI"/>
        </w:rPr>
        <w:tab/>
      </w:r>
      <w:r w:rsidRPr="001F23CA">
        <w:rPr>
          <w:sz w:val="24"/>
          <w:lang w:val="fi-FI"/>
        </w:rPr>
        <w:t xml:space="preserve">EUT L 209, 14.6.2021, s. 1, ELI: </w:t>
      </w:r>
      <w:hyperlink r:id="rId1" w:tgtFrame="http://data.europa.eu/eli/reg/2021/947/oj" w:history="1">
        <w:r w:rsidRPr="001F23CA">
          <w:rPr>
            <w:rStyle w:val="Hyperlink"/>
            <w:sz w:val="24"/>
            <w:lang w:val="fi-FI"/>
          </w:rPr>
          <w:t>http://data.europa.eu/eli/reg/2021/947/oj.</w:t>
        </w:r>
      </w:hyperlink>
    </w:p>
  </w:footnote>
  <w:footnote w:id="3">
    <w:p w:rsidR="00C00DA8" w:rsidRPr="001F23CA" w:rsidP="00241E95" w14:paraId="104FFC52" w14:textId="4E97FC7E">
      <w:pPr>
        <w:pStyle w:val="FootnoteText"/>
        <w:ind w:left="567" w:hanging="567"/>
        <w:rPr>
          <w:sz w:val="24"/>
          <w:szCs w:val="24"/>
          <w:lang w:val="fi-FI"/>
        </w:rPr>
      </w:pPr>
      <w:r w:rsidRPr="00241E95">
        <w:rPr>
          <w:rStyle w:val="FootnoteReference"/>
          <w:sz w:val="24"/>
          <w:szCs w:val="24"/>
          <w:lang w:val="sv-SE"/>
        </w:rPr>
        <w:footnoteRef/>
      </w:r>
      <w:r w:rsidRPr="001F23CA" w:rsidR="00241E95">
        <w:rPr>
          <w:sz w:val="24"/>
          <w:lang w:val="fi-FI"/>
        </w:rPr>
        <w:t xml:space="preserve"> </w:t>
      </w:r>
      <w:r w:rsidRPr="001F23CA" w:rsidR="00241E95">
        <w:rPr>
          <w:sz w:val="24"/>
          <w:lang w:val="fi-FI"/>
        </w:rPr>
        <w:tab/>
      </w:r>
      <w:r w:rsidRPr="001F23CA">
        <w:rPr>
          <w:sz w:val="24"/>
          <w:lang w:val="fi-FI"/>
        </w:rPr>
        <w:t xml:space="preserve">EUT L 55, 28.2.2011, s. 13, ELI: </w:t>
      </w:r>
      <w:hyperlink r:id="rId2" w:tooltip="Gives access to this document through its ELI URI." w:history="1">
        <w:r w:rsidRPr="001F23CA">
          <w:rPr>
            <w:rStyle w:val="Hyperlink"/>
            <w:sz w:val="24"/>
            <w:lang w:val="fi-FI"/>
          </w:rPr>
          <w:t>http://data.europa.eu/eli/reg/2011/182/oj</w:t>
        </w:r>
      </w:hyperlink>
      <w:r w:rsidRPr="001F23CA">
        <w:rPr>
          <w:rStyle w:val="Hyperlink"/>
          <w:sz w:val="24"/>
          <w:lang w:val="fi-FI"/>
        </w:rPr>
        <w:t>.</w:t>
      </w:r>
    </w:p>
  </w:footnote>
  <w:footnote w:id="4">
    <w:p w:rsidR="00C00DA8" w:rsidRPr="00241E95" w:rsidP="00241E95" w14:paraId="678F94F4" w14:textId="5D6743F7">
      <w:pPr>
        <w:pStyle w:val="FootnoteText"/>
        <w:ind w:left="567" w:hanging="567"/>
        <w:rPr>
          <w:sz w:val="24"/>
          <w:lang w:val="sv-SE"/>
        </w:rPr>
      </w:pPr>
      <w:r w:rsidRPr="00241E95">
        <w:rPr>
          <w:rStyle w:val="FootnoteReference"/>
          <w:sz w:val="24"/>
          <w:szCs w:val="24"/>
          <w:lang w:val="sv-SE"/>
        </w:rPr>
        <w:footnoteRef/>
      </w:r>
      <w:r w:rsidRPr="00241E95" w:rsidR="00241E95">
        <w:rPr>
          <w:sz w:val="24"/>
          <w:lang w:val="sv-SE"/>
        </w:rPr>
        <w:t xml:space="preserve"> </w:t>
      </w:r>
      <w:r w:rsidRPr="00241E95" w:rsidR="00241E95">
        <w:rPr>
          <w:sz w:val="24"/>
          <w:lang w:val="sv-SE"/>
        </w:rPr>
        <w:tab/>
      </w:r>
      <w:r w:rsidRPr="00241E95">
        <w:rPr>
          <w:sz w:val="24"/>
          <w:lang w:val="sv-SE"/>
        </w:rPr>
        <w:t>Antagna texter,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4CD2540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261D20B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41E95" w14:paraId="7ADFFF4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18317121">
    <w:abstractNumId w:val="9"/>
  </w:num>
  <w:num w:numId="2" w16cid:durableId="881599143">
    <w:abstractNumId w:val="9"/>
  </w:num>
  <w:num w:numId="3" w16cid:durableId="348681902">
    <w:abstractNumId w:val="7"/>
  </w:num>
  <w:num w:numId="4" w16cid:durableId="1387408227">
    <w:abstractNumId w:val="7"/>
  </w:num>
  <w:num w:numId="5" w16cid:durableId="1086925050">
    <w:abstractNumId w:val="6"/>
  </w:num>
  <w:num w:numId="6" w16cid:durableId="54744015">
    <w:abstractNumId w:val="6"/>
  </w:num>
  <w:num w:numId="7" w16cid:durableId="1088237231">
    <w:abstractNumId w:val="5"/>
  </w:num>
  <w:num w:numId="8" w16cid:durableId="1887137252">
    <w:abstractNumId w:val="5"/>
  </w:num>
  <w:num w:numId="9" w16cid:durableId="259948101">
    <w:abstractNumId w:val="4"/>
  </w:num>
  <w:num w:numId="10" w16cid:durableId="888079445">
    <w:abstractNumId w:val="4"/>
  </w:num>
  <w:num w:numId="11" w16cid:durableId="1459446967">
    <w:abstractNumId w:val="8"/>
  </w:num>
  <w:num w:numId="12" w16cid:durableId="792555549">
    <w:abstractNumId w:val="8"/>
  </w:num>
  <w:num w:numId="13" w16cid:durableId="1647470067">
    <w:abstractNumId w:val="3"/>
  </w:num>
  <w:num w:numId="14" w16cid:durableId="2031369974">
    <w:abstractNumId w:val="3"/>
  </w:num>
  <w:num w:numId="15" w16cid:durableId="908737204">
    <w:abstractNumId w:val="2"/>
  </w:num>
  <w:num w:numId="16" w16cid:durableId="1026128743">
    <w:abstractNumId w:val="2"/>
  </w:num>
  <w:num w:numId="17" w16cid:durableId="953630803">
    <w:abstractNumId w:val="1"/>
  </w:num>
  <w:num w:numId="18" w16cid:durableId="587924659">
    <w:abstractNumId w:val="1"/>
  </w:num>
  <w:num w:numId="19" w16cid:durableId="924388139">
    <w:abstractNumId w:val="0"/>
  </w:num>
  <w:num w:numId="20" w16cid:durableId="281039495">
    <w:abstractNumId w:val="0"/>
  </w:num>
  <w:num w:numId="21" w16cid:durableId="771322548">
    <w:abstractNumId w:val="9"/>
  </w:num>
  <w:num w:numId="22" w16cid:durableId="1444379917">
    <w:abstractNumId w:val="7"/>
  </w:num>
  <w:num w:numId="23" w16cid:durableId="139268424">
    <w:abstractNumId w:val="6"/>
  </w:num>
  <w:num w:numId="24" w16cid:durableId="4289191">
    <w:abstractNumId w:val="5"/>
  </w:num>
  <w:num w:numId="25" w16cid:durableId="1652755719">
    <w:abstractNumId w:val="4"/>
  </w:num>
  <w:num w:numId="26" w16cid:durableId="1585794114">
    <w:abstractNumId w:val="8"/>
  </w:num>
  <w:num w:numId="27" w16cid:durableId="1542132104">
    <w:abstractNumId w:val="3"/>
  </w:num>
  <w:num w:numId="28" w16cid:durableId="1857426364">
    <w:abstractNumId w:val="2"/>
  </w:num>
  <w:num w:numId="29" w16cid:durableId="1090010850">
    <w:abstractNumId w:val="1"/>
  </w:num>
  <w:num w:numId="30" w16cid:durableId="364450264">
    <w:abstractNumId w:val="0"/>
  </w:num>
  <w:num w:numId="31" w16cid:durableId="329911415">
    <w:abstractNumId w:val="9"/>
  </w:num>
  <w:num w:numId="32" w16cid:durableId="1832746694">
    <w:abstractNumId w:val="7"/>
  </w:num>
  <w:num w:numId="33" w16cid:durableId="347948691">
    <w:abstractNumId w:val="6"/>
  </w:num>
  <w:num w:numId="34" w16cid:durableId="164632749">
    <w:abstractNumId w:val="5"/>
  </w:num>
  <w:num w:numId="35" w16cid:durableId="1019505006">
    <w:abstractNumId w:val="4"/>
  </w:num>
  <w:num w:numId="36" w16cid:durableId="1243415031">
    <w:abstractNumId w:val="8"/>
  </w:num>
  <w:num w:numId="37" w16cid:durableId="572929202">
    <w:abstractNumId w:val="3"/>
  </w:num>
  <w:num w:numId="38" w16cid:durableId="220676326">
    <w:abstractNumId w:val="2"/>
  </w:num>
  <w:num w:numId="39" w16cid:durableId="48261688">
    <w:abstractNumId w:val="1"/>
  </w:num>
  <w:num w:numId="40" w16cid:durableId="1021971716">
    <w:abstractNumId w:val="0"/>
  </w:num>
  <w:num w:numId="41" w16cid:durableId="1742484904">
    <w:abstractNumId w:val="10"/>
  </w:num>
  <w:num w:numId="42" w16cid:durableId="660039558">
    <w:abstractNumId w:val="10"/>
  </w:num>
  <w:num w:numId="43" w16cid:durableId="1395468478">
    <w:abstractNumId w:val="10"/>
  </w:num>
  <w:num w:numId="44" w16cid:durableId="1591985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71"/>
    <w:rsid w:val="00002272"/>
    <w:rsid w:val="000628A7"/>
    <w:rsid w:val="00064002"/>
    <w:rsid w:val="000677B9"/>
    <w:rsid w:val="000831BA"/>
    <w:rsid w:val="000A42CC"/>
    <w:rsid w:val="000E7DD9"/>
    <w:rsid w:val="0010095E"/>
    <w:rsid w:val="00125B37"/>
    <w:rsid w:val="00153B87"/>
    <w:rsid w:val="00187494"/>
    <w:rsid w:val="001F089D"/>
    <w:rsid w:val="001F23CA"/>
    <w:rsid w:val="001F32AE"/>
    <w:rsid w:val="00241E95"/>
    <w:rsid w:val="002767FF"/>
    <w:rsid w:val="002817DD"/>
    <w:rsid w:val="002B18FE"/>
    <w:rsid w:val="002B5493"/>
    <w:rsid w:val="00343214"/>
    <w:rsid w:val="003576E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BD1"/>
    <w:rsid w:val="00865F67"/>
    <w:rsid w:val="00881A7B"/>
    <w:rsid w:val="008840E5"/>
    <w:rsid w:val="00887B3E"/>
    <w:rsid w:val="008C2AC6"/>
    <w:rsid w:val="00930C23"/>
    <w:rsid w:val="0093193B"/>
    <w:rsid w:val="009509D8"/>
    <w:rsid w:val="00950B64"/>
    <w:rsid w:val="00981893"/>
    <w:rsid w:val="00987752"/>
    <w:rsid w:val="00A1687D"/>
    <w:rsid w:val="00A43E52"/>
    <w:rsid w:val="00A4678D"/>
    <w:rsid w:val="00A778C7"/>
    <w:rsid w:val="00AB441E"/>
    <w:rsid w:val="00AB6293"/>
    <w:rsid w:val="00AE0928"/>
    <w:rsid w:val="00AF3B82"/>
    <w:rsid w:val="00B12E95"/>
    <w:rsid w:val="00B22876"/>
    <w:rsid w:val="00B442B1"/>
    <w:rsid w:val="00B558F0"/>
    <w:rsid w:val="00BD48FE"/>
    <w:rsid w:val="00BD7BD8"/>
    <w:rsid w:val="00BE6ADC"/>
    <w:rsid w:val="00C00DA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171"/>
    <w:rsid w:val="00FB4360"/>
    <w:rsid w:val="00FD0C70"/>
  </w:rsids>
  <w:docVars>
    <w:docVar w:name="dvdocse" w:val="B10-0273/2026"/>
    <w:docVar w:name="dvlangue" w:val="SV"/>
    <w:docVar w:name="dvnumam" w:val="0"/>
    <w:docVar w:name="dvpe" w:val="789.144"/>
    <w:docVar w:name="dvtitre" w:val="Europaparlamentets resolution av den xx xx 2026 om utkastet till kommissionens genomförandebeslut om finansieringen av den årliga handlingsplanen till förmån för Förenade republiken Tanzania för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448D2CA"/>
  <w15:chartTrackingRefBased/>
  <w15:docId w15:val="{E9E83DD2-08E5-462D-8A20-7849E216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00DA8"/>
    <w:pPr>
      <w:spacing w:before="480" w:after="240"/>
    </w:pPr>
  </w:style>
  <w:style w:type="paragraph" w:customStyle="1" w:styleId="NormalHanging12a">
    <w:name w:val="NormalHanging12a"/>
    <w:basedOn w:val="Normal"/>
    <w:rsid w:val="00C00DA8"/>
    <w:pPr>
      <w:spacing w:after="240"/>
      <w:ind w:left="567" w:hanging="567"/>
    </w:pPr>
  </w:style>
  <w:style w:type="character" w:styleId="Hyperlink">
    <w:name w:val="Hyperlink"/>
    <w:basedOn w:val="DefaultParagraphFont"/>
    <w:rsid w:val="00C00DA8"/>
    <w:rPr>
      <w:color w:val="0563C1" w:themeColor="hyperlink"/>
      <w:u w:val="single"/>
    </w:rPr>
  </w:style>
  <w:style w:type="paragraph" w:styleId="Revision">
    <w:name w:val="Revision"/>
    <w:hidden/>
    <w:uiPriority w:val="99"/>
    <w:semiHidden/>
    <w:rsid w:val="00B442B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789</Words>
  <Characters>5245</Characters>
  <Application>Microsoft Office Word</Application>
  <DocSecurity>0</DocSecurity>
  <Lines>262</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2026-07-22T11:11:00Z</dcterms:created>
  <dcterms:modified xsi:type="dcterms:W3CDTF">2026-07-22T11:11:00Z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B10-0273/2026</vt:lpwstr>
  </property>
  <property fmtid="{D5CDD505-2E9C-101B-9397-08002B2CF9AE}" pid="4" name="&lt;Type&gt;">
    <vt:lpwstr>RR</vt:lpwstr>
  </property>
</Properties>
</file>