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D2E3F" w14:paraId="743E4C49" w14:textId="77777777" w:rsidTr="0010095E">
        <w:trPr>
          <w:trHeight w:hRule="exact" w:val="1418"/>
        </w:trPr>
        <w:tc>
          <w:tcPr>
            <w:tcW w:w="6804" w:type="dxa"/>
            <w:shd w:val="clear" w:color="auto" w:fill="auto"/>
            <w:vAlign w:val="center"/>
          </w:tcPr>
          <w:p w14:paraId="228AE9B8" w14:textId="77777777" w:rsidR="00751A4A" w:rsidRPr="00BD2E3F" w:rsidRDefault="006B2625" w:rsidP="0010095E">
            <w:pPr>
              <w:pStyle w:val="EPName"/>
            </w:pPr>
            <w:r w:rsidRPr="00BD2E3F">
              <w:t>European Parliament</w:t>
            </w:r>
          </w:p>
          <w:p w14:paraId="4634ECAB" w14:textId="77777777" w:rsidR="00751A4A" w:rsidRPr="00BD2E3F" w:rsidRDefault="005F1B17" w:rsidP="005F1B17">
            <w:pPr>
              <w:pStyle w:val="EPTerm"/>
              <w:rPr>
                <w:rStyle w:val="HideTWBExt"/>
                <w:noProof w:val="0"/>
                <w:vanish w:val="0"/>
                <w:color w:val="auto"/>
              </w:rPr>
            </w:pPr>
            <w:r w:rsidRPr="00BD2E3F">
              <w:t>2024</w:t>
            </w:r>
            <w:r w:rsidR="00817416" w:rsidRPr="00BD2E3F">
              <w:t>-202</w:t>
            </w:r>
            <w:r w:rsidRPr="00BD2E3F">
              <w:t>9</w:t>
            </w:r>
          </w:p>
        </w:tc>
        <w:tc>
          <w:tcPr>
            <w:tcW w:w="2268" w:type="dxa"/>
            <w:shd w:val="clear" w:color="auto" w:fill="auto"/>
          </w:tcPr>
          <w:p w14:paraId="77683821" w14:textId="77777777" w:rsidR="00751A4A" w:rsidRPr="00BD2E3F" w:rsidRDefault="00187494" w:rsidP="0010095E">
            <w:pPr>
              <w:pStyle w:val="EPLogo"/>
            </w:pPr>
            <w:r w:rsidRPr="00BD2E3F">
              <w:rPr>
                <w:noProof/>
                <w:lang w:eastAsia="ja-JP"/>
              </w:rPr>
              <w:drawing>
                <wp:inline distT="0" distB="0" distL="0" distR="0" wp14:anchorId="2CDC1834" wp14:editId="1299455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50187EE" w14:textId="77777777" w:rsidR="00D058B8" w:rsidRPr="00BD2E3F" w:rsidRDefault="00D058B8" w:rsidP="004C5D52">
      <w:pPr>
        <w:pStyle w:val="LineTop"/>
      </w:pPr>
    </w:p>
    <w:p w14:paraId="76C86F3A" w14:textId="77777777" w:rsidR="00680577" w:rsidRPr="00BD2E3F" w:rsidRDefault="006B2625" w:rsidP="00680577">
      <w:pPr>
        <w:pStyle w:val="EPBodyTA1"/>
      </w:pPr>
      <w:r w:rsidRPr="00BD2E3F">
        <w:t>TEXTS ADOPTED</w:t>
      </w:r>
    </w:p>
    <w:p w14:paraId="02600600" w14:textId="77777777" w:rsidR="00D058B8" w:rsidRPr="00BD2E3F" w:rsidRDefault="00D058B8" w:rsidP="00D058B8">
      <w:pPr>
        <w:pStyle w:val="LineBottom"/>
      </w:pPr>
    </w:p>
    <w:p w14:paraId="38D2E047" w14:textId="362BCA27" w:rsidR="006B2625" w:rsidRPr="00BD2E3F" w:rsidRDefault="006B2625" w:rsidP="006B2625">
      <w:pPr>
        <w:pStyle w:val="ATHeading1"/>
      </w:pPr>
      <w:bookmarkStart w:id="0" w:name="TANumber"/>
      <w:r w:rsidRPr="00BD2E3F">
        <w:t>P10_</w:t>
      </w:r>
      <w:proofErr w:type="gramStart"/>
      <w:r w:rsidRPr="00BD2E3F">
        <w:t>TA(</w:t>
      </w:r>
      <w:proofErr w:type="gramEnd"/>
      <w:r w:rsidRPr="00BD2E3F">
        <w:t>2026)0</w:t>
      </w:r>
      <w:bookmarkEnd w:id="0"/>
      <w:r w:rsidR="00CB046A">
        <w:t>234</w:t>
      </w:r>
    </w:p>
    <w:p w14:paraId="0CF2D911" w14:textId="57BD4384" w:rsidR="006B2625" w:rsidRPr="00BD2E3F" w:rsidRDefault="0018740E" w:rsidP="006B2625">
      <w:pPr>
        <w:pStyle w:val="ATHeading2"/>
      </w:pPr>
      <w:bookmarkStart w:id="1" w:name="title"/>
      <w:r>
        <w:t>S</w:t>
      </w:r>
      <w:r w:rsidR="006B2625" w:rsidRPr="00BD2E3F">
        <w:t>pecial committee on the Housing Crisis in the European Union</w:t>
      </w:r>
      <w:r>
        <w:t>:</w:t>
      </w:r>
      <w:r w:rsidRPr="00BD2E3F">
        <w:t xml:space="preserve"> </w:t>
      </w:r>
      <w:r w:rsidR="006B2625" w:rsidRPr="00BD2E3F">
        <w:t>exten</w:t>
      </w:r>
      <w:r>
        <w:t>sion</w:t>
      </w:r>
      <w:r w:rsidR="006B2625" w:rsidRPr="00BD2E3F">
        <w:t xml:space="preserve"> </w:t>
      </w:r>
      <w:r>
        <w:t>of the</w:t>
      </w:r>
      <w:r w:rsidR="006B2625" w:rsidRPr="00BD2E3F">
        <w:t xml:space="preserve"> term of office and adjust</w:t>
      </w:r>
      <w:r>
        <w:t>ment of</w:t>
      </w:r>
      <w:r w:rsidR="006B2625" w:rsidRPr="00BD2E3F">
        <w:t xml:space="preserve"> its responsibilities</w:t>
      </w:r>
    </w:p>
    <w:p w14:paraId="5B7E206A" w14:textId="77777777" w:rsidR="006B2625" w:rsidRPr="00BD2E3F" w:rsidRDefault="006B2625" w:rsidP="006B2625">
      <w:pPr>
        <w:rPr>
          <w:i/>
          <w:vanish/>
        </w:rPr>
      </w:pPr>
      <w:r w:rsidRPr="00BD2E3F">
        <w:rPr>
          <w:i/>
        </w:rPr>
        <w:fldChar w:fldCharType="begin"/>
      </w:r>
      <w:r w:rsidRPr="00BD2E3F">
        <w:rPr>
          <w:i/>
        </w:rPr>
        <w:instrText xml:space="preserve"> TC"(</w:instrText>
      </w:r>
      <w:bookmarkStart w:id="2" w:name="DocNumber"/>
      <w:r w:rsidRPr="00BD2E3F">
        <w:rPr>
          <w:i/>
        </w:rPr>
        <w:instrText>B10-0343/2026</w:instrText>
      </w:r>
      <w:bookmarkEnd w:id="2"/>
      <w:r w:rsidRPr="00BD2E3F">
        <w:rPr>
          <w:i/>
        </w:rPr>
        <w:instrText xml:space="preserve">)"\l3 \n&gt; \* MERGEFORMAT </w:instrText>
      </w:r>
      <w:r w:rsidRPr="00BD2E3F">
        <w:rPr>
          <w:i/>
        </w:rPr>
        <w:fldChar w:fldCharType="end"/>
      </w:r>
    </w:p>
    <w:p w14:paraId="10AE680A" w14:textId="77777777" w:rsidR="006B2625" w:rsidRPr="00BD2E3F" w:rsidRDefault="006B2625" w:rsidP="006B2625">
      <w:pPr>
        <w:rPr>
          <w:vanish/>
        </w:rPr>
      </w:pPr>
      <w:bookmarkStart w:id="3" w:name="PE"/>
      <w:r w:rsidRPr="00BD2E3F">
        <w:rPr>
          <w:vanish/>
        </w:rPr>
        <w:t>PE783.405</w:t>
      </w:r>
      <w:bookmarkEnd w:id="3"/>
    </w:p>
    <w:p w14:paraId="0DD9FFD5" w14:textId="77777777" w:rsidR="006B2625" w:rsidRPr="00BD2E3F" w:rsidRDefault="006B2625" w:rsidP="006B2625">
      <w:pPr>
        <w:pStyle w:val="ATHeading3"/>
      </w:pPr>
      <w:bookmarkStart w:id="4" w:name="Sujet"/>
      <w:r w:rsidRPr="00BD2E3F">
        <w:t>European Parliament decision of 7 July 2026 amending the decision of 18 December 2024 on setting up a special committee on the Housing Crisis in the European Union to extend the special committee’s term of office and adjust its responsibilities</w:t>
      </w:r>
      <w:bookmarkEnd w:id="4"/>
      <w:r w:rsidRPr="00BD2E3F">
        <w:t xml:space="preserve"> </w:t>
      </w:r>
      <w:bookmarkStart w:id="5" w:name="References"/>
      <w:r w:rsidRPr="00BD2E3F">
        <w:t>(2026/2807(RSO))</w:t>
      </w:r>
      <w:bookmarkEnd w:id="5"/>
    </w:p>
    <w:p w14:paraId="4AED88C2" w14:textId="77777777" w:rsidR="007B34B4" w:rsidRPr="00BD2E3F" w:rsidRDefault="007B34B4" w:rsidP="007B34B4">
      <w:pPr>
        <w:pStyle w:val="EPComma"/>
      </w:pPr>
      <w:bookmarkStart w:id="6" w:name="TextBodyBegin"/>
      <w:bookmarkEnd w:id="6"/>
      <w:bookmarkEnd w:id="1"/>
      <w:r w:rsidRPr="00BD2E3F">
        <w:rPr>
          <w:i/>
        </w:rPr>
        <w:t>The European Parliament</w:t>
      </w:r>
      <w:r w:rsidRPr="00BD2E3F">
        <w:t>,</w:t>
      </w:r>
    </w:p>
    <w:p w14:paraId="15A4633B" w14:textId="77777777" w:rsidR="007B34B4" w:rsidRPr="00BD2E3F" w:rsidRDefault="007B34B4" w:rsidP="00273881">
      <w:pPr>
        <w:pStyle w:val="NormalHanging12a"/>
        <w:widowControl/>
      </w:pPr>
      <w:r w:rsidRPr="00BD2E3F">
        <w:rPr>
          <w:szCs w:val="24"/>
          <w:lang w:eastAsia="en-US"/>
        </w:rPr>
        <w:t>–</w:t>
      </w:r>
      <w:r w:rsidRPr="00BD2E3F">
        <w:rPr>
          <w:szCs w:val="24"/>
          <w:lang w:eastAsia="en-US"/>
        </w:rPr>
        <w:tab/>
      </w:r>
      <w:r w:rsidRPr="00BD2E3F">
        <w:t>having</w:t>
      </w:r>
      <w:r w:rsidRPr="00BD2E3F">
        <w:rPr>
          <w:spacing w:val="-9"/>
        </w:rPr>
        <w:t xml:space="preserve"> </w:t>
      </w:r>
      <w:r w:rsidRPr="00BD2E3F">
        <w:t>regard</w:t>
      </w:r>
      <w:r w:rsidRPr="00BD2E3F">
        <w:rPr>
          <w:spacing w:val="-2"/>
        </w:rPr>
        <w:t xml:space="preserve"> </w:t>
      </w:r>
      <w:r w:rsidRPr="00BD2E3F">
        <w:t>to</w:t>
      </w:r>
      <w:r w:rsidRPr="00BD2E3F">
        <w:rPr>
          <w:spacing w:val="-3"/>
        </w:rPr>
        <w:t xml:space="preserve"> </w:t>
      </w:r>
      <w:r w:rsidRPr="00BD2E3F">
        <w:t>the</w:t>
      </w:r>
      <w:r w:rsidRPr="00BD2E3F">
        <w:rPr>
          <w:spacing w:val="-4"/>
        </w:rPr>
        <w:t xml:space="preserve"> </w:t>
      </w:r>
      <w:r w:rsidRPr="00BD2E3F">
        <w:t>proposal</w:t>
      </w:r>
      <w:r w:rsidRPr="00BD2E3F">
        <w:rPr>
          <w:spacing w:val="-2"/>
        </w:rPr>
        <w:t xml:space="preserve"> </w:t>
      </w:r>
      <w:r w:rsidRPr="00BD2E3F">
        <w:t>from</w:t>
      </w:r>
      <w:r w:rsidRPr="00BD2E3F">
        <w:rPr>
          <w:spacing w:val="-1"/>
        </w:rPr>
        <w:t xml:space="preserve"> </w:t>
      </w:r>
      <w:r w:rsidRPr="00BD2E3F">
        <w:t>the</w:t>
      </w:r>
      <w:r w:rsidRPr="00BD2E3F">
        <w:rPr>
          <w:spacing w:val="-4"/>
        </w:rPr>
        <w:t xml:space="preserve"> </w:t>
      </w:r>
      <w:r w:rsidRPr="00BD2E3F">
        <w:t>Conference</w:t>
      </w:r>
      <w:r w:rsidRPr="00BD2E3F">
        <w:rPr>
          <w:spacing w:val="-1"/>
        </w:rPr>
        <w:t xml:space="preserve"> </w:t>
      </w:r>
      <w:r w:rsidRPr="00BD2E3F">
        <w:t>of</w:t>
      </w:r>
      <w:r w:rsidRPr="00BD2E3F">
        <w:rPr>
          <w:spacing w:val="-2"/>
        </w:rPr>
        <w:t xml:space="preserve"> Presidents,</w:t>
      </w:r>
    </w:p>
    <w:p w14:paraId="5E7F7F5C" w14:textId="77777777" w:rsidR="007B34B4" w:rsidRPr="00BD2E3F" w:rsidRDefault="007B34B4" w:rsidP="00273881">
      <w:pPr>
        <w:pStyle w:val="NormalHanging12a"/>
        <w:widowControl/>
      </w:pPr>
      <w:r w:rsidRPr="00BD2E3F">
        <w:rPr>
          <w:szCs w:val="24"/>
          <w:lang w:eastAsia="en-US"/>
        </w:rPr>
        <w:t>–</w:t>
      </w:r>
      <w:r w:rsidRPr="00BD2E3F">
        <w:rPr>
          <w:szCs w:val="24"/>
          <w:lang w:eastAsia="en-US"/>
        </w:rPr>
        <w:tab/>
      </w:r>
      <w:r w:rsidRPr="00BD2E3F">
        <w:t>having</w:t>
      </w:r>
      <w:r w:rsidRPr="00BD2E3F">
        <w:rPr>
          <w:spacing w:val="-13"/>
        </w:rPr>
        <w:t xml:space="preserve"> </w:t>
      </w:r>
      <w:r w:rsidRPr="00BD2E3F">
        <w:t>regard</w:t>
      </w:r>
      <w:r w:rsidRPr="00BD2E3F">
        <w:rPr>
          <w:spacing w:val="-9"/>
        </w:rPr>
        <w:t xml:space="preserve"> </w:t>
      </w:r>
      <w:r w:rsidRPr="00BD2E3F">
        <w:t>to</w:t>
      </w:r>
      <w:r w:rsidRPr="00BD2E3F">
        <w:rPr>
          <w:spacing w:val="-9"/>
        </w:rPr>
        <w:t xml:space="preserve"> </w:t>
      </w:r>
      <w:r w:rsidRPr="00BD2E3F">
        <w:t>the</w:t>
      </w:r>
      <w:r w:rsidRPr="00BD2E3F">
        <w:rPr>
          <w:spacing w:val="-9"/>
        </w:rPr>
        <w:t xml:space="preserve"> </w:t>
      </w:r>
      <w:r w:rsidRPr="00BD2E3F">
        <w:t>Treaty</w:t>
      </w:r>
      <w:r w:rsidRPr="00BD2E3F">
        <w:rPr>
          <w:spacing w:val="-14"/>
        </w:rPr>
        <w:t xml:space="preserve"> </w:t>
      </w:r>
      <w:r w:rsidRPr="00BD2E3F">
        <w:t>on</w:t>
      </w:r>
      <w:r w:rsidRPr="00BD2E3F">
        <w:rPr>
          <w:spacing w:val="-9"/>
        </w:rPr>
        <w:t xml:space="preserve"> </w:t>
      </w:r>
      <w:r w:rsidRPr="00BD2E3F">
        <w:t>European</w:t>
      </w:r>
      <w:r w:rsidRPr="00BD2E3F">
        <w:rPr>
          <w:spacing w:val="-9"/>
        </w:rPr>
        <w:t xml:space="preserve"> </w:t>
      </w:r>
      <w:r w:rsidRPr="00BD2E3F">
        <w:t>Union</w:t>
      </w:r>
      <w:r w:rsidRPr="00BD2E3F">
        <w:rPr>
          <w:spacing w:val="-9"/>
        </w:rPr>
        <w:t xml:space="preserve"> </w:t>
      </w:r>
      <w:r w:rsidRPr="00BD2E3F">
        <w:t>(TEU),</w:t>
      </w:r>
      <w:r w:rsidRPr="00BD2E3F">
        <w:rPr>
          <w:spacing w:val="-19"/>
        </w:rPr>
        <w:t xml:space="preserve"> </w:t>
      </w:r>
      <w:r w:rsidRPr="00BD2E3F">
        <w:t>in</w:t>
      </w:r>
      <w:r w:rsidRPr="00BD2E3F">
        <w:rPr>
          <w:spacing w:val="-9"/>
        </w:rPr>
        <w:t xml:space="preserve"> </w:t>
      </w:r>
      <w:r w:rsidRPr="00BD2E3F">
        <w:t>particular</w:t>
      </w:r>
      <w:r w:rsidRPr="00BD2E3F">
        <w:rPr>
          <w:spacing w:val="-9"/>
        </w:rPr>
        <w:t xml:space="preserve"> </w:t>
      </w:r>
      <w:r w:rsidRPr="00BD2E3F">
        <w:t>Article</w:t>
      </w:r>
      <w:r w:rsidRPr="00BD2E3F">
        <w:rPr>
          <w:spacing w:val="-7"/>
        </w:rPr>
        <w:t xml:space="preserve"> </w:t>
      </w:r>
      <w:r w:rsidRPr="00BD2E3F">
        <w:t>3(3)</w:t>
      </w:r>
      <w:r w:rsidRPr="00BD2E3F">
        <w:rPr>
          <w:spacing w:val="-8"/>
        </w:rPr>
        <w:t xml:space="preserve"> </w:t>
      </w:r>
      <w:r w:rsidRPr="00BD2E3F">
        <w:t>thereof, and</w:t>
      </w:r>
      <w:r w:rsidRPr="00BD2E3F">
        <w:rPr>
          <w:spacing w:val="-4"/>
        </w:rPr>
        <w:t xml:space="preserve"> </w:t>
      </w:r>
      <w:r w:rsidRPr="00BD2E3F">
        <w:t>the</w:t>
      </w:r>
      <w:r w:rsidRPr="00BD2E3F">
        <w:rPr>
          <w:spacing w:val="-5"/>
        </w:rPr>
        <w:t xml:space="preserve"> </w:t>
      </w:r>
      <w:r w:rsidRPr="00BD2E3F">
        <w:t>Treaty</w:t>
      </w:r>
      <w:r w:rsidRPr="00BD2E3F">
        <w:rPr>
          <w:spacing w:val="-9"/>
        </w:rPr>
        <w:t xml:space="preserve"> </w:t>
      </w:r>
      <w:r w:rsidRPr="00BD2E3F">
        <w:t>on</w:t>
      </w:r>
      <w:r w:rsidRPr="00BD2E3F">
        <w:rPr>
          <w:spacing w:val="-4"/>
        </w:rPr>
        <w:t xml:space="preserve"> </w:t>
      </w:r>
      <w:r w:rsidRPr="00BD2E3F">
        <w:t>the</w:t>
      </w:r>
      <w:r w:rsidRPr="00BD2E3F">
        <w:rPr>
          <w:spacing w:val="-5"/>
        </w:rPr>
        <w:t xml:space="preserve"> </w:t>
      </w:r>
      <w:r w:rsidRPr="00BD2E3F">
        <w:t>Functioning</w:t>
      </w:r>
      <w:r w:rsidRPr="00BD2E3F">
        <w:rPr>
          <w:spacing w:val="-6"/>
        </w:rPr>
        <w:t xml:space="preserve"> </w:t>
      </w:r>
      <w:r w:rsidRPr="00BD2E3F">
        <w:t>of</w:t>
      </w:r>
      <w:r w:rsidRPr="00BD2E3F">
        <w:rPr>
          <w:spacing w:val="-6"/>
        </w:rPr>
        <w:t xml:space="preserve"> </w:t>
      </w:r>
      <w:r w:rsidRPr="00BD2E3F">
        <w:t>the</w:t>
      </w:r>
      <w:r w:rsidRPr="00BD2E3F">
        <w:rPr>
          <w:spacing w:val="-5"/>
        </w:rPr>
        <w:t xml:space="preserve"> </w:t>
      </w:r>
      <w:r w:rsidRPr="00BD2E3F">
        <w:t>European</w:t>
      </w:r>
      <w:r w:rsidRPr="00BD2E3F">
        <w:rPr>
          <w:spacing w:val="-4"/>
        </w:rPr>
        <w:t xml:space="preserve"> </w:t>
      </w:r>
      <w:r w:rsidRPr="00BD2E3F">
        <w:t>Union</w:t>
      </w:r>
      <w:r w:rsidRPr="00BD2E3F">
        <w:rPr>
          <w:spacing w:val="-4"/>
        </w:rPr>
        <w:t xml:space="preserve"> </w:t>
      </w:r>
      <w:r w:rsidRPr="00BD2E3F">
        <w:t>(TFEU),</w:t>
      </w:r>
      <w:r w:rsidRPr="00BD2E3F">
        <w:rPr>
          <w:spacing w:val="-4"/>
        </w:rPr>
        <w:t xml:space="preserve"> </w:t>
      </w:r>
      <w:r w:rsidRPr="00BD2E3F">
        <w:t>in</w:t>
      </w:r>
      <w:r w:rsidRPr="00BD2E3F">
        <w:rPr>
          <w:spacing w:val="-5"/>
        </w:rPr>
        <w:t xml:space="preserve"> </w:t>
      </w:r>
      <w:r w:rsidRPr="00BD2E3F">
        <w:t>particular</w:t>
      </w:r>
      <w:r w:rsidRPr="00BD2E3F">
        <w:rPr>
          <w:spacing w:val="-5"/>
        </w:rPr>
        <w:t xml:space="preserve"> </w:t>
      </w:r>
      <w:r w:rsidRPr="00BD2E3F">
        <w:t>Articles 9, 14, 148, 153, 160 and 168 thereof, and Protocol No 26 to the TEU and to the TFEU on services of general interest,</w:t>
      </w:r>
    </w:p>
    <w:p w14:paraId="5C45DDB6" w14:textId="77777777" w:rsidR="007B34B4" w:rsidRPr="00BD2E3F" w:rsidRDefault="007B34B4" w:rsidP="00273881">
      <w:pPr>
        <w:pStyle w:val="NormalHanging12a"/>
        <w:widowControl/>
      </w:pPr>
      <w:r w:rsidRPr="00BD2E3F">
        <w:rPr>
          <w:szCs w:val="24"/>
          <w:lang w:eastAsia="en-US"/>
        </w:rPr>
        <w:t>–</w:t>
      </w:r>
      <w:r w:rsidRPr="00BD2E3F">
        <w:rPr>
          <w:szCs w:val="24"/>
          <w:lang w:eastAsia="en-US"/>
        </w:rPr>
        <w:tab/>
      </w:r>
      <w:r w:rsidRPr="00BD2E3F">
        <w:t>having</w:t>
      </w:r>
      <w:r w:rsidRPr="00BD2E3F">
        <w:rPr>
          <w:spacing w:val="-9"/>
        </w:rPr>
        <w:t xml:space="preserve"> </w:t>
      </w:r>
      <w:r w:rsidRPr="00BD2E3F">
        <w:t>regard</w:t>
      </w:r>
      <w:r w:rsidRPr="00BD2E3F">
        <w:rPr>
          <w:spacing w:val="-1"/>
        </w:rPr>
        <w:t xml:space="preserve"> </w:t>
      </w:r>
      <w:r w:rsidRPr="00BD2E3F">
        <w:t>to</w:t>
      </w:r>
      <w:r w:rsidRPr="00BD2E3F">
        <w:rPr>
          <w:spacing w:val="-2"/>
        </w:rPr>
        <w:t xml:space="preserve"> </w:t>
      </w:r>
      <w:r w:rsidRPr="00BD2E3F">
        <w:t>the</w:t>
      </w:r>
      <w:r w:rsidRPr="00BD2E3F">
        <w:rPr>
          <w:spacing w:val="-3"/>
        </w:rPr>
        <w:t xml:space="preserve"> </w:t>
      </w:r>
      <w:r w:rsidRPr="00BD2E3F">
        <w:t>Charter</w:t>
      </w:r>
      <w:r w:rsidRPr="00BD2E3F">
        <w:rPr>
          <w:spacing w:val="-2"/>
        </w:rPr>
        <w:t xml:space="preserve"> </w:t>
      </w:r>
      <w:r w:rsidRPr="00BD2E3F">
        <w:t>of</w:t>
      </w:r>
      <w:r w:rsidRPr="00BD2E3F">
        <w:rPr>
          <w:spacing w:val="-1"/>
        </w:rPr>
        <w:t xml:space="preserve"> </w:t>
      </w:r>
      <w:r w:rsidRPr="00BD2E3F">
        <w:t>Fundamental</w:t>
      </w:r>
      <w:r w:rsidRPr="00BD2E3F">
        <w:rPr>
          <w:spacing w:val="-1"/>
        </w:rPr>
        <w:t xml:space="preserve"> </w:t>
      </w:r>
      <w:r w:rsidRPr="00BD2E3F">
        <w:t>Rights</w:t>
      </w:r>
      <w:r w:rsidRPr="00BD2E3F">
        <w:rPr>
          <w:spacing w:val="-2"/>
        </w:rPr>
        <w:t xml:space="preserve"> </w:t>
      </w:r>
      <w:r w:rsidRPr="00BD2E3F">
        <w:t>of</w:t>
      </w:r>
      <w:r w:rsidRPr="00BD2E3F">
        <w:rPr>
          <w:spacing w:val="-2"/>
        </w:rPr>
        <w:t xml:space="preserve"> </w:t>
      </w:r>
      <w:r w:rsidRPr="00BD2E3F">
        <w:t>the</w:t>
      </w:r>
      <w:r w:rsidRPr="00BD2E3F">
        <w:rPr>
          <w:spacing w:val="-3"/>
        </w:rPr>
        <w:t xml:space="preserve"> </w:t>
      </w:r>
      <w:r w:rsidRPr="00BD2E3F">
        <w:t xml:space="preserve">European </w:t>
      </w:r>
      <w:r w:rsidRPr="00BD2E3F">
        <w:rPr>
          <w:spacing w:val="-2"/>
        </w:rPr>
        <w:t>Union,</w:t>
      </w:r>
    </w:p>
    <w:p w14:paraId="7F578187" w14:textId="77777777" w:rsidR="007B34B4" w:rsidRPr="00BD2E3F" w:rsidRDefault="007B34B4" w:rsidP="00273881">
      <w:pPr>
        <w:pStyle w:val="NormalHanging12a"/>
        <w:widowControl/>
      </w:pPr>
      <w:r w:rsidRPr="00BD2E3F">
        <w:rPr>
          <w:szCs w:val="24"/>
          <w:lang w:eastAsia="en-US"/>
        </w:rPr>
        <w:t>–</w:t>
      </w:r>
      <w:r w:rsidRPr="00BD2E3F">
        <w:rPr>
          <w:szCs w:val="24"/>
          <w:lang w:eastAsia="en-US"/>
        </w:rPr>
        <w:tab/>
      </w:r>
      <w:r w:rsidRPr="00BD2E3F">
        <w:t>having</w:t>
      </w:r>
      <w:r w:rsidRPr="00BD2E3F">
        <w:rPr>
          <w:spacing w:val="-7"/>
        </w:rPr>
        <w:t xml:space="preserve"> </w:t>
      </w:r>
      <w:r w:rsidRPr="00BD2E3F">
        <w:t>regard</w:t>
      </w:r>
      <w:r w:rsidRPr="00BD2E3F">
        <w:rPr>
          <w:spacing w:val="-1"/>
        </w:rPr>
        <w:t xml:space="preserve"> </w:t>
      </w:r>
      <w:r w:rsidRPr="00BD2E3F">
        <w:t>to</w:t>
      </w:r>
      <w:r w:rsidRPr="00BD2E3F">
        <w:rPr>
          <w:spacing w:val="-2"/>
        </w:rPr>
        <w:t xml:space="preserve"> </w:t>
      </w:r>
      <w:r w:rsidRPr="00BD2E3F">
        <w:t>the</w:t>
      </w:r>
      <w:r w:rsidRPr="00BD2E3F">
        <w:rPr>
          <w:spacing w:val="-2"/>
        </w:rPr>
        <w:t xml:space="preserve"> </w:t>
      </w:r>
      <w:r w:rsidRPr="00BD2E3F">
        <w:t>European</w:t>
      </w:r>
      <w:r w:rsidRPr="00BD2E3F">
        <w:rPr>
          <w:spacing w:val="-1"/>
        </w:rPr>
        <w:t xml:space="preserve"> </w:t>
      </w:r>
      <w:r w:rsidRPr="00BD2E3F">
        <w:t>Pillar</w:t>
      </w:r>
      <w:r w:rsidRPr="00BD2E3F">
        <w:rPr>
          <w:spacing w:val="-3"/>
        </w:rPr>
        <w:t xml:space="preserve"> </w:t>
      </w:r>
      <w:r w:rsidRPr="00BD2E3F">
        <w:t>of</w:t>
      </w:r>
      <w:r w:rsidRPr="00BD2E3F">
        <w:rPr>
          <w:spacing w:val="-2"/>
        </w:rPr>
        <w:t xml:space="preserve"> </w:t>
      </w:r>
      <w:r w:rsidRPr="00BD2E3F">
        <w:t>Social</w:t>
      </w:r>
      <w:r w:rsidRPr="00BD2E3F">
        <w:rPr>
          <w:spacing w:val="-1"/>
        </w:rPr>
        <w:t xml:space="preserve"> </w:t>
      </w:r>
      <w:r w:rsidRPr="00BD2E3F">
        <w:rPr>
          <w:spacing w:val="-2"/>
        </w:rPr>
        <w:t>Rights,</w:t>
      </w:r>
    </w:p>
    <w:p w14:paraId="5B112641" w14:textId="77777777" w:rsidR="007B34B4" w:rsidRPr="00BD2E3F" w:rsidRDefault="007B34B4" w:rsidP="00273881">
      <w:pPr>
        <w:pStyle w:val="NormalHanging12a"/>
        <w:widowControl/>
      </w:pPr>
      <w:r w:rsidRPr="00BD2E3F">
        <w:rPr>
          <w:szCs w:val="24"/>
          <w:lang w:eastAsia="en-US"/>
        </w:rPr>
        <w:t>–</w:t>
      </w:r>
      <w:r w:rsidRPr="00BD2E3F">
        <w:rPr>
          <w:szCs w:val="24"/>
          <w:lang w:eastAsia="en-US"/>
        </w:rPr>
        <w:tab/>
      </w:r>
      <w:r w:rsidRPr="00BD2E3F">
        <w:t>having</w:t>
      </w:r>
      <w:r w:rsidRPr="00BD2E3F">
        <w:rPr>
          <w:spacing w:val="-3"/>
        </w:rPr>
        <w:t xml:space="preserve"> </w:t>
      </w:r>
      <w:r w:rsidRPr="00BD2E3F">
        <w:t>regard</w:t>
      </w:r>
      <w:r w:rsidRPr="00BD2E3F">
        <w:rPr>
          <w:spacing w:val="-3"/>
        </w:rPr>
        <w:t xml:space="preserve"> </w:t>
      </w:r>
      <w:r w:rsidRPr="00BD2E3F">
        <w:t>to</w:t>
      </w:r>
      <w:r w:rsidRPr="00BD2E3F">
        <w:rPr>
          <w:spacing w:val="-3"/>
        </w:rPr>
        <w:t xml:space="preserve"> </w:t>
      </w:r>
      <w:r w:rsidRPr="00BD2E3F">
        <w:t>its</w:t>
      </w:r>
      <w:r w:rsidRPr="00BD2E3F">
        <w:rPr>
          <w:spacing w:val="-3"/>
        </w:rPr>
        <w:t xml:space="preserve"> </w:t>
      </w:r>
      <w:r w:rsidRPr="00BD2E3F">
        <w:t>resolution</w:t>
      </w:r>
      <w:r w:rsidRPr="00BD2E3F">
        <w:rPr>
          <w:spacing w:val="-3"/>
        </w:rPr>
        <w:t xml:space="preserve"> </w:t>
      </w:r>
      <w:r w:rsidRPr="00BD2E3F">
        <w:t>of</w:t>
      </w:r>
      <w:r w:rsidRPr="00BD2E3F">
        <w:rPr>
          <w:spacing w:val="-3"/>
        </w:rPr>
        <w:t xml:space="preserve"> </w:t>
      </w:r>
      <w:r w:rsidRPr="00BD2E3F">
        <w:t>21</w:t>
      </w:r>
      <w:r w:rsidRPr="00BD2E3F">
        <w:rPr>
          <w:spacing w:val="-3"/>
        </w:rPr>
        <w:t xml:space="preserve"> </w:t>
      </w:r>
      <w:r w:rsidRPr="00BD2E3F">
        <w:t>January</w:t>
      </w:r>
      <w:r w:rsidRPr="00BD2E3F">
        <w:rPr>
          <w:spacing w:val="-3"/>
        </w:rPr>
        <w:t xml:space="preserve"> </w:t>
      </w:r>
      <w:r w:rsidRPr="00BD2E3F">
        <w:t>2021</w:t>
      </w:r>
      <w:r w:rsidRPr="00BD2E3F">
        <w:rPr>
          <w:spacing w:val="-3"/>
        </w:rPr>
        <w:t xml:space="preserve"> </w:t>
      </w:r>
      <w:r w:rsidRPr="00BD2E3F">
        <w:t>on</w:t>
      </w:r>
      <w:r w:rsidRPr="00BD2E3F">
        <w:rPr>
          <w:spacing w:val="-3"/>
        </w:rPr>
        <w:t xml:space="preserve"> </w:t>
      </w:r>
      <w:r w:rsidRPr="00BD2E3F">
        <w:t>access</w:t>
      </w:r>
      <w:r w:rsidRPr="00BD2E3F">
        <w:rPr>
          <w:spacing w:val="-3"/>
        </w:rPr>
        <w:t xml:space="preserve"> </w:t>
      </w:r>
      <w:r w:rsidRPr="00BD2E3F">
        <w:t>to</w:t>
      </w:r>
      <w:r w:rsidRPr="00BD2E3F">
        <w:rPr>
          <w:spacing w:val="-3"/>
        </w:rPr>
        <w:t xml:space="preserve"> </w:t>
      </w:r>
      <w:r w:rsidRPr="00BD2E3F">
        <w:t>decent</w:t>
      </w:r>
      <w:r w:rsidRPr="00BD2E3F">
        <w:rPr>
          <w:spacing w:val="-3"/>
        </w:rPr>
        <w:t xml:space="preserve"> </w:t>
      </w:r>
      <w:r w:rsidRPr="00BD2E3F">
        <w:t>and</w:t>
      </w:r>
      <w:r w:rsidRPr="00BD2E3F">
        <w:rPr>
          <w:spacing w:val="-3"/>
        </w:rPr>
        <w:t xml:space="preserve"> </w:t>
      </w:r>
      <w:r w:rsidRPr="00BD2E3F">
        <w:t>affordable housing for all</w:t>
      </w:r>
      <w:r w:rsidRPr="00BD2E3F">
        <w:rPr>
          <w:rStyle w:val="FootnoteReference"/>
          <w:color w:val="000000"/>
          <w:position w:val="7"/>
        </w:rPr>
        <w:footnoteReference w:id="1"/>
      </w:r>
      <w:r w:rsidRPr="00BD2E3F">
        <w:t>,</w:t>
      </w:r>
    </w:p>
    <w:p w14:paraId="3BF58286" w14:textId="77777777" w:rsidR="007B34B4" w:rsidRPr="00BD2E3F" w:rsidRDefault="007B34B4" w:rsidP="00273881">
      <w:pPr>
        <w:pStyle w:val="NormalHanging12a"/>
        <w:widowControl/>
      </w:pPr>
      <w:r w:rsidRPr="00BD2E3F">
        <w:rPr>
          <w:szCs w:val="24"/>
          <w:lang w:eastAsia="en-US"/>
        </w:rPr>
        <w:t>–</w:t>
      </w:r>
      <w:r w:rsidRPr="00BD2E3F">
        <w:rPr>
          <w:szCs w:val="24"/>
          <w:lang w:eastAsia="en-US"/>
        </w:rPr>
        <w:tab/>
      </w:r>
      <w:r w:rsidRPr="00BD2E3F">
        <w:t>having regard to its decision of 18 December 2024 on setting up a special committee on the Housing Crisis in the European Union, and defining its responsibilities, numerical strength and term of office</w:t>
      </w:r>
      <w:r w:rsidRPr="00BD2E3F">
        <w:rPr>
          <w:rStyle w:val="FootnoteReference"/>
          <w:color w:val="000000"/>
        </w:rPr>
        <w:footnoteReference w:id="2"/>
      </w:r>
      <w:r w:rsidRPr="00BD2E3F">
        <w:t>,</w:t>
      </w:r>
    </w:p>
    <w:p w14:paraId="549D32A2" w14:textId="77777777" w:rsidR="007B34B4" w:rsidRPr="00BD2E3F" w:rsidRDefault="007B34B4" w:rsidP="00273881">
      <w:pPr>
        <w:pStyle w:val="NormalHanging12a"/>
        <w:widowControl/>
      </w:pPr>
      <w:r w:rsidRPr="00BD2E3F">
        <w:rPr>
          <w:szCs w:val="24"/>
          <w:lang w:eastAsia="en-US"/>
        </w:rPr>
        <w:t>–</w:t>
      </w:r>
      <w:r w:rsidRPr="00BD2E3F">
        <w:rPr>
          <w:szCs w:val="24"/>
          <w:lang w:eastAsia="en-US"/>
        </w:rPr>
        <w:tab/>
      </w:r>
      <w:r w:rsidRPr="00BD2E3F">
        <w:t>having</w:t>
      </w:r>
      <w:r w:rsidRPr="00BD2E3F">
        <w:rPr>
          <w:spacing w:val="-3"/>
        </w:rPr>
        <w:t xml:space="preserve"> </w:t>
      </w:r>
      <w:r w:rsidRPr="00BD2E3F">
        <w:t>regard</w:t>
      </w:r>
      <w:r w:rsidRPr="00BD2E3F">
        <w:rPr>
          <w:spacing w:val="-3"/>
        </w:rPr>
        <w:t xml:space="preserve"> </w:t>
      </w:r>
      <w:r w:rsidRPr="00BD2E3F">
        <w:t>to</w:t>
      </w:r>
      <w:r w:rsidRPr="00BD2E3F">
        <w:rPr>
          <w:spacing w:val="-3"/>
        </w:rPr>
        <w:t xml:space="preserve"> </w:t>
      </w:r>
      <w:r w:rsidRPr="00BD2E3F">
        <w:t>its</w:t>
      </w:r>
      <w:r w:rsidRPr="00BD2E3F">
        <w:rPr>
          <w:spacing w:val="-3"/>
        </w:rPr>
        <w:t xml:space="preserve"> </w:t>
      </w:r>
      <w:r w:rsidRPr="00BD2E3F">
        <w:t>resolution</w:t>
      </w:r>
      <w:r w:rsidRPr="00BD2E3F">
        <w:rPr>
          <w:spacing w:val="-3"/>
        </w:rPr>
        <w:t xml:space="preserve"> </w:t>
      </w:r>
      <w:r w:rsidRPr="00BD2E3F">
        <w:t>of</w:t>
      </w:r>
      <w:r w:rsidRPr="00BD2E3F">
        <w:rPr>
          <w:spacing w:val="-3"/>
        </w:rPr>
        <w:t xml:space="preserve"> </w:t>
      </w:r>
      <w:r w:rsidRPr="00BD2E3F">
        <w:t>10 March 2026 on the housing crisis in the European Union with the aim of proposing solutions for decent, sustainable and affordable housing</w:t>
      </w:r>
      <w:r w:rsidRPr="00BD2E3F">
        <w:rPr>
          <w:rStyle w:val="FootnoteReference"/>
          <w:color w:val="000000"/>
        </w:rPr>
        <w:footnoteReference w:id="3"/>
      </w:r>
      <w:r w:rsidRPr="00BD2E3F">
        <w:t>,</w:t>
      </w:r>
    </w:p>
    <w:p w14:paraId="2DAC5688" w14:textId="77777777" w:rsidR="007B34B4" w:rsidRPr="00BD2E3F" w:rsidRDefault="007B34B4" w:rsidP="00273881">
      <w:pPr>
        <w:pStyle w:val="NormalHanging12a"/>
        <w:widowControl/>
      </w:pPr>
      <w:r w:rsidRPr="00BD2E3F">
        <w:rPr>
          <w:szCs w:val="24"/>
          <w:lang w:eastAsia="en-US"/>
        </w:rPr>
        <w:lastRenderedPageBreak/>
        <w:t>–</w:t>
      </w:r>
      <w:r w:rsidRPr="00BD2E3F">
        <w:rPr>
          <w:szCs w:val="24"/>
          <w:lang w:eastAsia="en-US"/>
        </w:rPr>
        <w:tab/>
      </w:r>
      <w:r w:rsidRPr="00BD2E3F">
        <w:t>having</w:t>
      </w:r>
      <w:r w:rsidRPr="00BD2E3F">
        <w:rPr>
          <w:spacing w:val="-5"/>
        </w:rPr>
        <w:t xml:space="preserve"> </w:t>
      </w:r>
      <w:r w:rsidRPr="00BD2E3F">
        <w:t>regard</w:t>
      </w:r>
      <w:r w:rsidRPr="00BD2E3F">
        <w:rPr>
          <w:spacing w:val="-1"/>
        </w:rPr>
        <w:t xml:space="preserve"> </w:t>
      </w:r>
      <w:r w:rsidRPr="00BD2E3F">
        <w:t>to</w:t>
      </w:r>
      <w:r w:rsidRPr="00BD2E3F">
        <w:rPr>
          <w:spacing w:val="-1"/>
        </w:rPr>
        <w:t xml:space="preserve"> </w:t>
      </w:r>
      <w:r w:rsidRPr="00BD2E3F">
        <w:t>Rule</w:t>
      </w:r>
      <w:r w:rsidRPr="00BD2E3F">
        <w:rPr>
          <w:spacing w:val="-4"/>
        </w:rPr>
        <w:t xml:space="preserve"> </w:t>
      </w:r>
      <w:r w:rsidRPr="00BD2E3F">
        <w:t>213 of</w:t>
      </w:r>
      <w:r w:rsidRPr="00BD2E3F">
        <w:rPr>
          <w:spacing w:val="-2"/>
        </w:rPr>
        <w:t xml:space="preserve"> </w:t>
      </w:r>
      <w:r w:rsidRPr="00BD2E3F">
        <w:t>its</w:t>
      </w:r>
      <w:r w:rsidRPr="00BD2E3F">
        <w:rPr>
          <w:spacing w:val="-2"/>
        </w:rPr>
        <w:t xml:space="preserve"> </w:t>
      </w:r>
      <w:r w:rsidRPr="00BD2E3F">
        <w:t>Rules</w:t>
      </w:r>
      <w:r w:rsidRPr="00BD2E3F">
        <w:rPr>
          <w:spacing w:val="-2"/>
        </w:rPr>
        <w:t xml:space="preserve"> </w:t>
      </w:r>
      <w:r w:rsidRPr="00BD2E3F">
        <w:t>of</w:t>
      </w:r>
      <w:r w:rsidRPr="00BD2E3F">
        <w:rPr>
          <w:spacing w:val="-1"/>
        </w:rPr>
        <w:t xml:space="preserve"> </w:t>
      </w:r>
      <w:r w:rsidRPr="00BD2E3F">
        <w:rPr>
          <w:spacing w:val="-2"/>
        </w:rPr>
        <w:t>Procedure,</w:t>
      </w:r>
    </w:p>
    <w:p w14:paraId="4780658A" w14:textId="77777777" w:rsidR="007B34B4" w:rsidRPr="00BD2E3F" w:rsidRDefault="007B34B4" w:rsidP="00273881">
      <w:pPr>
        <w:pStyle w:val="NormalHanging12a"/>
        <w:widowControl/>
      </w:pPr>
      <w:r w:rsidRPr="00BD2E3F">
        <w:rPr>
          <w:spacing w:val="-2"/>
        </w:rPr>
        <w:t>A.</w:t>
      </w:r>
      <w:r w:rsidRPr="00BD2E3F">
        <w:rPr>
          <w:spacing w:val="-2"/>
          <w:szCs w:val="24"/>
          <w:lang w:eastAsia="en-US"/>
        </w:rPr>
        <w:tab/>
      </w:r>
      <w:r w:rsidRPr="00BD2E3F">
        <w:rPr>
          <w:spacing w:val="-2"/>
        </w:rPr>
        <w:t>whereas Article 25 of the Universal Declaration of Human Rights states that ‘everyone has the right to a standard of living adequate for the health and well-being of himself and of his family, including food, clothing, housing and medical care</w:t>
      </w:r>
      <w:proofErr w:type="gramStart"/>
      <w:r w:rsidRPr="00BD2E3F">
        <w:rPr>
          <w:spacing w:val="-2"/>
        </w:rPr>
        <w:t>’;</w:t>
      </w:r>
      <w:proofErr w:type="gramEnd"/>
    </w:p>
    <w:p w14:paraId="23C43993" w14:textId="77777777" w:rsidR="007B34B4" w:rsidRPr="00BD2E3F" w:rsidRDefault="007B34B4" w:rsidP="00273881">
      <w:pPr>
        <w:pStyle w:val="NormalHanging12a"/>
        <w:widowControl/>
      </w:pPr>
      <w:r w:rsidRPr="00BD2E3F">
        <w:rPr>
          <w:spacing w:val="-2"/>
          <w:szCs w:val="24"/>
          <w:lang w:eastAsia="en-US"/>
        </w:rPr>
        <w:t>B.</w:t>
      </w:r>
      <w:r w:rsidRPr="00BD2E3F">
        <w:rPr>
          <w:spacing w:val="-2"/>
          <w:szCs w:val="24"/>
          <w:lang w:eastAsia="en-US"/>
        </w:rPr>
        <w:tab/>
      </w:r>
      <w:r w:rsidRPr="00BD2E3F">
        <w:t>whereas the European Pillar of Social Rights states that access to social housing or housing assistance of good quality is to be provided for those in need and this is to be implemented at both Union and national level within their respective competences; whereas adequate shelters and services are to be provided to people experiencing homelessness in order to promote</w:t>
      </w:r>
      <w:r w:rsidRPr="00BD2E3F">
        <w:rPr>
          <w:spacing w:val="-3"/>
        </w:rPr>
        <w:t xml:space="preserve"> </w:t>
      </w:r>
      <w:r w:rsidRPr="00BD2E3F">
        <w:t>their</w:t>
      </w:r>
      <w:r w:rsidRPr="00BD2E3F">
        <w:rPr>
          <w:spacing w:val="-3"/>
        </w:rPr>
        <w:t xml:space="preserve"> </w:t>
      </w:r>
      <w:r w:rsidRPr="00BD2E3F">
        <w:t>social</w:t>
      </w:r>
      <w:r w:rsidRPr="00BD2E3F">
        <w:rPr>
          <w:spacing w:val="-4"/>
        </w:rPr>
        <w:t xml:space="preserve"> </w:t>
      </w:r>
      <w:r w:rsidRPr="00BD2E3F">
        <w:t>inclusion;</w:t>
      </w:r>
      <w:r w:rsidRPr="00BD2E3F">
        <w:rPr>
          <w:spacing w:val="35"/>
        </w:rPr>
        <w:t xml:space="preserve"> </w:t>
      </w:r>
      <w:r w:rsidRPr="00BD2E3F">
        <w:t>whereas</w:t>
      </w:r>
      <w:r w:rsidRPr="00BD2E3F">
        <w:rPr>
          <w:spacing w:val="-4"/>
        </w:rPr>
        <w:t xml:space="preserve"> </w:t>
      </w:r>
      <w:r w:rsidRPr="00BD2E3F">
        <w:t>the</w:t>
      </w:r>
      <w:r w:rsidRPr="00BD2E3F">
        <w:rPr>
          <w:spacing w:val="-3"/>
        </w:rPr>
        <w:t xml:space="preserve"> </w:t>
      </w:r>
      <w:r w:rsidRPr="00BD2E3F">
        <w:t>right</w:t>
      </w:r>
      <w:r w:rsidRPr="00BD2E3F">
        <w:rPr>
          <w:spacing w:val="-3"/>
        </w:rPr>
        <w:t xml:space="preserve"> </w:t>
      </w:r>
      <w:r w:rsidRPr="00BD2E3F">
        <w:t>to</w:t>
      </w:r>
      <w:r w:rsidRPr="00BD2E3F">
        <w:rPr>
          <w:spacing w:val="-3"/>
        </w:rPr>
        <w:t xml:space="preserve"> </w:t>
      </w:r>
      <w:r w:rsidRPr="00BD2E3F">
        <w:t>housing</w:t>
      </w:r>
      <w:r w:rsidRPr="00BD2E3F">
        <w:rPr>
          <w:spacing w:val="-3"/>
        </w:rPr>
        <w:t xml:space="preserve"> </w:t>
      </w:r>
      <w:r w:rsidRPr="00BD2E3F">
        <w:t>for</w:t>
      </w:r>
      <w:r w:rsidRPr="00BD2E3F">
        <w:rPr>
          <w:spacing w:val="-3"/>
        </w:rPr>
        <w:t xml:space="preserve"> </w:t>
      </w:r>
      <w:r w:rsidRPr="00BD2E3F">
        <w:t>people</w:t>
      </w:r>
      <w:r w:rsidRPr="00BD2E3F">
        <w:rPr>
          <w:spacing w:val="-3"/>
        </w:rPr>
        <w:t xml:space="preserve"> </w:t>
      </w:r>
      <w:r w:rsidRPr="00BD2E3F">
        <w:t>with</w:t>
      </w:r>
      <w:r w:rsidRPr="00BD2E3F">
        <w:rPr>
          <w:spacing w:val="-3"/>
        </w:rPr>
        <w:t xml:space="preserve"> </w:t>
      </w:r>
      <w:r w:rsidRPr="00BD2E3F">
        <w:t>disabilities deserves special protection and dedicated policies to ensure housing accessibility;</w:t>
      </w:r>
    </w:p>
    <w:p w14:paraId="39E17918" w14:textId="77777777" w:rsidR="007B34B4" w:rsidRPr="00BD2E3F" w:rsidRDefault="007B34B4" w:rsidP="00273881">
      <w:pPr>
        <w:pStyle w:val="NormalHanging12a"/>
        <w:widowControl/>
      </w:pPr>
      <w:r w:rsidRPr="00BD2E3F">
        <w:rPr>
          <w:spacing w:val="-2"/>
          <w:szCs w:val="24"/>
          <w:lang w:eastAsia="en-US"/>
        </w:rPr>
        <w:t>C.</w:t>
      </w:r>
      <w:r w:rsidRPr="00BD2E3F">
        <w:rPr>
          <w:spacing w:val="-2"/>
          <w:szCs w:val="24"/>
          <w:lang w:eastAsia="en-US"/>
        </w:rPr>
        <w:tab/>
      </w:r>
      <w:r w:rsidRPr="00BD2E3F">
        <w:rPr>
          <w:szCs w:val="24"/>
        </w:rPr>
        <w:t>whereas the European Union is facing a housing crisis, with people of all ages across different income groups struggling with high prices and scarcity of affordable homes; whereas</w:t>
      </w:r>
      <w:r w:rsidRPr="00BD2E3F">
        <w:rPr>
          <w:spacing w:val="-3"/>
          <w:szCs w:val="24"/>
        </w:rPr>
        <w:t xml:space="preserve"> </w:t>
      </w:r>
      <w:r w:rsidRPr="00BD2E3F">
        <w:rPr>
          <w:szCs w:val="24"/>
        </w:rPr>
        <w:t>unaffordable</w:t>
      </w:r>
      <w:r w:rsidRPr="00BD2E3F">
        <w:rPr>
          <w:spacing w:val="-3"/>
          <w:szCs w:val="24"/>
        </w:rPr>
        <w:t xml:space="preserve"> </w:t>
      </w:r>
      <w:r w:rsidRPr="00BD2E3F">
        <w:rPr>
          <w:szCs w:val="24"/>
        </w:rPr>
        <w:t>housing</w:t>
      </w:r>
      <w:r w:rsidRPr="00BD2E3F">
        <w:rPr>
          <w:spacing w:val="-4"/>
          <w:szCs w:val="24"/>
        </w:rPr>
        <w:t xml:space="preserve"> </w:t>
      </w:r>
      <w:r w:rsidRPr="00BD2E3F">
        <w:rPr>
          <w:szCs w:val="24"/>
        </w:rPr>
        <w:t>is</w:t>
      </w:r>
      <w:r w:rsidRPr="00BD2E3F">
        <w:rPr>
          <w:spacing w:val="-3"/>
          <w:szCs w:val="24"/>
        </w:rPr>
        <w:t xml:space="preserve"> </w:t>
      </w:r>
      <w:r w:rsidRPr="00BD2E3F">
        <w:rPr>
          <w:szCs w:val="24"/>
        </w:rPr>
        <w:t>a</w:t>
      </w:r>
      <w:r w:rsidRPr="00BD2E3F">
        <w:rPr>
          <w:spacing w:val="-2"/>
          <w:szCs w:val="24"/>
        </w:rPr>
        <w:t xml:space="preserve"> </w:t>
      </w:r>
      <w:r w:rsidRPr="00BD2E3F">
        <w:rPr>
          <w:szCs w:val="24"/>
        </w:rPr>
        <w:t>matter</w:t>
      </w:r>
      <w:r w:rsidRPr="00BD2E3F">
        <w:rPr>
          <w:spacing w:val="-3"/>
          <w:szCs w:val="24"/>
        </w:rPr>
        <w:t xml:space="preserve"> </w:t>
      </w:r>
      <w:r w:rsidRPr="00BD2E3F">
        <w:rPr>
          <w:szCs w:val="24"/>
        </w:rPr>
        <w:t>of</w:t>
      </w:r>
      <w:r w:rsidRPr="00BD2E3F">
        <w:rPr>
          <w:spacing w:val="-2"/>
          <w:szCs w:val="24"/>
        </w:rPr>
        <w:t xml:space="preserve"> </w:t>
      </w:r>
      <w:r w:rsidRPr="00BD2E3F">
        <w:rPr>
          <w:szCs w:val="24"/>
        </w:rPr>
        <w:t>great</w:t>
      </w:r>
      <w:r w:rsidRPr="00BD2E3F">
        <w:rPr>
          <w:spacing w:val="-2"/>
          <w:szCs w:val="24"/>
        </w:rPr>
        <w:t xml:space="preserve"> </w:t>
      </w:r>
      <w:r w:rsidRPr="00BD2E3F">
        <w:rPr>
          <w:szCs w:val="24"/>
        </w:rPr>
        <w:t>concern</w:t>
      </w:r>
      <w:r w:rsidRPr="00BD2E3F">
        <w:rPr>
          <w:spacing w:val="-2"/>
          <w:szCs w:val="24"/>
        </w:rPr>
        <w:t xml:space="preserve"> </w:t>
      </w:r>
      <w:r w:rsidRPr="00BD2E3F">
        <w:rPr>
          <w:szCs w:val="24"/>
        </w:rPr>
        <w:t>for</w:t>
      </w:r>
      <w:r w:rsidRPr="00BD2E3F">
        <w:rPr>
          <w:spacing w:val="-3"/>
          <w:szCs w:val="24"/>
        </w:rPr>
        <w:t xml:space="preserve"> </w:t>
      </w:r>
      <w:r w:rsidRPr="00BD2E3F">
        <w:rPr>
          <w:szCs w:val="24"/>
        </w:rPr>
        <w:t>many</w:t>
      </w:r>
      <w:r w:rsidRPr="00BD2E3F">
        <w:rPr>
          <w:spacing w:val="-4"/>
          <w:szCs w:val="24"/>
        </w:rPr>
        <w:t xml:space="preserve"> </w:t>
      </w:r>
      <w:r w:rsidRPr="00BD2E3F">
        <w:rPr>
          <w:szCs w:val="24"/>
        </w:rPr>
        <w:t>Union</w:t>
      </w:r>
      <w:r w:rsidRPr="00BD2E3F">
        <w:rPr>
          <w:spacing w:val="-2"/>
          <w:szCs w:val="24"/>
        </w:rPr>
        <w:t xml:space="preserve"> </w:t>
      </w:r>
      <w:r w:rsidRPr="00BD2E3F">
        <w:rPr>
          <w:szCs w:val="24"/>
        </w:rPr>
        <w:t>citizens</w:t>
      </w:r>
      <w:r w:rsidRPr="00BD2E3F">
        <w:rPr>
          <w:spacing w:val="-3"/>
          <w:szCs w:val="24"/>
        </w:rPr>
        <w:t xml:space="preserve"> </w:t>
      </w:r>
      <w:r w:rsidRPr="00BD2E3F">
        <w:rPr>
          <w:szCs w:val="24"/>
        </w:rPr>
        <w:t xml:space="preserve">and </w:t>
      </w:r>
      <w:r w:rsidRPr="00BD2E3F">
        <w:rPr>
          <w:spacing w:val="-2"/>
          <w:szCs w:val="24"/>
        </w:rPr>
        <w:t>prevents</w:t>
      </w:r>
      <w:r w:rsidRPr="00BD2E3F">
        <w:rPr>
          <w:spacing w:val="-5"/>
          <w:szCs w:val="24"/>
        </w:rPr>
        <w:t xml:space="preserve"> </w:t>
      </w:r>
      <w:r w:rsidRPr="00BD2E3F">
        <w:rPr>
          <w:spacing w:val="-2"/>
          <w:szCs w:val="24"/>
        </w:rPr>
        <w:t>them,</w:t>
      </w:r>
      <w:r w:rsidRPr="00BD2E3F">
        <w:rPr>
          <w:spacing w:val="-5"/>
          <w:szCs w:val="24"/>
        </w:rPr>
        <w:t xml:space="preserve"> </w:t>
      </w:r>
      <w:r w:rsidRPr="00BD2E3F">
        <w:rPr>
          <w:spacing w:val="-2"/>
          <w:szCs w:val="24"/>
        </w:rPr>
        <w:t>particularly</w:t>
      </w:r>
      <w:r w:rsidRPr="00BD2E3F">
        <w:rPr>
          <w:spacing w:val="-4"/>
          <w:szCs w:val="24"/>
        </w:rPr>
        <w:t xml:space="preserve"> </w:t>
      </w:r>
      <w:r w:rsidRPr="00BD2E3F">
        <w:rPr>
          <w:spacing w:val="-2"/>
          <w:szCs w:val="24"/>
        </w:rPr>
        <w:t>young</w:t>
      </w:r>
      <w:r w:rsidRPr="00BD2E3F">
        <w:rPr>
          <w:spacing w:val="-5"/>
          <w:szCs w:val="24"/>
        </w:rPr>
        <w:t xml:space="preserve"> </w:t>
      </w:r>
      <w:r w:rsidRPr="00BD2E3F">
        <w:rPr>
          <w:spacing w:val="-2"/>
          <w:szCs w:val="24"/>
        </w:rPr>
        <w:t>people,</w:t>
      </w:r>
      <w:r w:rsidRPr="00BD2E3F">
        <w:rPr>
          <w:spacing w:val="-5"/>
          <w:szCs w:val="24"/>
        </w:rPr>
        <w:t xml:space="preserve"> </w:t>
      </w:r>
      <w:r w:rsidRPr="00BD2E3F">
        <w:rPr>
          <w:spacing w:val="-2"/>
          <w:szCs w:val="24"/>
        </w:rPr>
        <w:t>from</w:t>
      </w:r>
      <w:r w:rsidRPr="00BD2E3F">
        <w:rPr>
          <w:spacing w:val="-5"/>
          <w:szCs w:val="24"/>
        </w:rPr>
        <w:t xml:space="preserve"> </w:t>
      </w:r>
      <w:r w:rsidRPr="00BD2E3F">
        <w:rPr>
          <w:spacing w:val="-2"/>
          <w:szCs w:val="24"/>
        </w:rPr>
        <w:t>starting</w:t>
      </w:r>
      <w:r w:rsidRPr="00BD2E3F">
        <w:rPr>
          <w:spacing w:val="-5"/>
          <w:szCs w:val="24"/>
        </w:rPr>
        <w:t xml:space="preserve"> </w:t>
      </w:r>
      <w:r w:rsidRPr="00BD2E3F">
        <w:rPr>
          <w:spacing w:val="-2"/>
          <w:szCs w:val="24"/>
        </w:rPr>
        <w:t>an</w:t>
      </w:r>
      <w:r w:rsidRPr="00BD2E3F">
        <w:rPr>
          <w:spacing w:val="-4"/>
          <w:szCs w:val="24"/>
        </w:rPr>
        <w:t xml:space="preserve"> </w:t>
      </w:r>
      <w:r w:rsidRPr="00BD2E3F">
        <w:rPr>
          <w:spacing w:val="-2"/>
          <w:szCs w:val="24"/>
        </w:rPr>
        <w:t>independent</w:t>
      </w:r>
      <w:r w:rsidRPr="00BD2E3F">
        <w:rPr>
          <w:spacing w:val="-5"/>
          <w:szCs w:val="24"/>
        </w:rPr>
        <w:t xml:space="preserve"> </w:t>
      </w:r>
      <w:r w:rsidRPr="00BD2E3F">
        <w:rPr>
          <w:spacing w:val="-2"/>
          <w:szCs w:val="24"/>
        </w:rPr>
        <w:t>life;</w:t>
      </w:r>
      <w:r w:rsidRPr="00BD2E3F">
        <w:rPr>
          <w:spacing w:val="-5"/>
          <w:szCs w:val="24"/>
        </w:rPr>
        <w:t xml:space="preserve"> </w:t>
      </w:r>
      <w:r w:rsidRPr="00BD2E3F">
        <w:rPr>
          <w:spacing w:val="-2"/>
          <w:szCs w:val="24"/>
        </w:rPr>
        <w:t>whereas</w:t>
      </w:r>
      <w:r w:rsidRPr="00BD2E3F">
        <w:rPr>
          <w:spacing w:val="-4"/>
          <w:szCs w:val="24"/>
        </w:rPr>
        <w:t xml:space="preserve"> </w:t>
      </w:r>
      <w:r w:rsidRPr="00BD2E3F">
        <w:rPr>
          <w:spacing w:val="-2"/>
          <w:szCs w:val="24"/>
        </w:rPr>
        <w:t xml:space="preserve">that </w:t>
      </w:r>
      <w:r w:rsidRPr="00BD2E3F">
        <w:rPr>
          <w:szCs w:val="24"/>
        </w:rPr>
        <w:t>crisis</w:t>
      </w:r>
      <w:r w:rsidRPr="00BD2E3F">
        <w:rPr>
          <w:spacing w:val="-15"/>
          <w:szCs w:val="24"/>
        </w:rPr>
        <w:t xml:space="preserve"> </w:t>
      </w:r>
      <w:r w:rsidRPr="00BD2E3F">
        <w:rPr>
          <w:szCs w:val="24"/>
        </w:rPr>
        <w:t>affects</w:t>
      </w:r>
      <w:r w:rsidRPr="00BD2E3F">
        <w:rPr>
          <w:spacing w:val="-11"/>
          <w:szCs w:val="24"/>
        </w:rPr>
        <w:t xml:space="preserve"> </w:t>
      </w:r>
      <w:r w:rsidRPr="00BD2E3F">
        <w:rPr>
          <w:szCs w:val="24"/>
        </w:rPr>
        <w:t>people</w:t>
      </w:r>
      <w:r w:rsidRPr="00BD2E3F">
        <w:rPr>
          <w:spacing w:val="-13"/>
          <w:szCs w:val="24"/>
        </w:rPr>
        <w:t xml:space="preserve"> </w:t>
      </w:r>
      <w:r w:rsidRPr="00BD2E3F">
        <w:rPr>
          <w:szCs w:val="24"/>
        </w:rPr>
        <w:t>in</w:t>
      </w:r>
      <w:r w:rsidRPr="00BD2E3F">
        <w:rPr>
          <w:spacing w:val="-14"/>
          <w:szCs w:val="24"/>
        </w:rPr>
        <w:t xml:space="preserve"> </w:t>
      </w:r>
      <w:r w:rsidRPr="00BD2E3F">
        <w:rPr>
          <w:szCs w:val="24"/>
        </w:rPr>
        <w:t>all</w:t>
      </w:r>
      <w:r w:rsidRPr="00BD2E3F">
        <w:rPr>
          <w:spacing w:val="-12"/>
          <w:szCs w:val="24"/>
        </w:rPr>
        <w:t xml:space="preserve"> </w:t>
      </w:r>
      <w:r w:rsidRPr="00BD2E3F">
        <w:rPr>
          <w:szCs w:val="24"/>
        </w:rPr>
        <w:t>Member</w:t>
      </w:r>
      <w:r w:rsidRPr="00BD2E3F">
        <w:rPr>
          <w:spacing w:val="-13"/>
          <w:szCs w:val="24"/>
        </w:rPr>
        <w:t xml:space="preserve"> </w:t>
      </w:r>
      <w:r w:rsidRPr="00BD2E3F">
        <w:rPr>
          <w:szCs w:val="24"/>
        </w:rPr>
        <w:t>States</w:t>
      </w:r>
      <w:r w:rsidRPr="00BD2E3F">
        <w:rPr>
          <w:spacing w:val="-11"/>
          <w:szCs w:val="24"/>
        </w:rPr>
        <w:t xml:space="preserve"> </w:t>
      </w:r>
      <w:r w:rsidRPr="00BD2E3F">
        <w:rPr>
          <w:szCs w:val="24"/>
        </w:rPr>
        <w:t>and</w:t>
      </w:r>
      <w:r w:rsidRPr="00BD2E3F">
        <w:rPr>
          <w:spacing w:val="-14"/>
          <w:szCs w:val="24"/>
        </w:rPr>
        <w:t xml:space="preserve"> </w:t>
      </w:r>
      <w:r w:rsidRPr="00BD2E3F">
        <w:rPr>
          <w:szCs w:val="24"/>
        </w:rPr>
        <w:t>can</w:t>
      </w:r>
      <w:r w:rsidRPr="00BD2E3F">
        <w:rPr>
          <w:spacing w:val="-14"/>
          <w:szCs w:val="24"/>
        </w:rPr>
        <w:t xml:space="preserve"> </w:t>
      </w:r>
      <w:r w:rsidRPr="00BD2E3F">
        <w:rPr>
          <w:szCs w:val="24"/>
        </w:rPr>
        <w:t>have</w:t>
      </w:r>
      <w:r w:rsidRPr="00BD2E3F">
        <w:rPr>
          <w:spacing w:val="-13"/>
          <w:szCs w:val="24"/>
        </w:rPr>
        <w:t xml:space="preserve"> </w:t>
      </w:r>
      <w:r w:rsidRPr="00BD2E3F">
        <w:rPr>
          <w:szCs w:val="24"/>
        </w:rPr>
        <w:t>a</w:t>
      </w:r>
      <w:r w:rsidRPr="00BD2E3F">
        <w:rPr>
          <w:spacing w:val="-15"/>
          <w:szCs w:val="24"/>
        </w:rPr>
        <w:t xml:space="preserve"> </w:t>
      </w:r>
      <w:r w:rsidRPr="00BD2E3F">
        <w:rPr>
          <w:szCs w:val="24"/>
        </w:rPr>
        <w:t>negative</w:t>
      </w:r>
      <w:r w:rsidRPr="00BD2E3F">
        <w:rPr>
          <w:spacing w:val="-15"/>
          <w:szCs w:val="24"/>
        </w:rPr>
        <w:t xml:space="preserve"> </w:t>
      </w:r>
      <w:r w:rsidRPr="00BD2E3F">
        <w:rPr>
          <w:szCs w:val="24"/>
        </w:rPr>
        <w:t>impact</w:t>
      </w:r>
      <w:r w:rsidRPr="00BD2E3F">
        <w:rPr>
          <w:spacing w:val="-14"/>
          <w:szCs w:val="24"/>
        </w:rPr>
        <w:t xml:space="preserve"> </w:t>
      </w:r>
      <w:r w:rsidRPr="00BD2E3F">
        <w:rPr>
          <w:szCs w:val="24"/>
        </w:rPr>
        <w:t>on</w:t>
      </w:r>
      <w:r w:rsidRPr="00BD2E3F">
        <w:rPr>
          <w:spacing w:val="-9"/>
          <w:szCs w:val="24"/>
        </w:rPr>
        <w:t xml:space="preserve"> </w:t>
      </w:r>
      <w:r w:rsidRPr="00BD2E3F">
        <w:rPr>
          <w:szCs w:val="24"/>
        </w:rPr>
        <w:t>their</w:t>
      </w:r>
      <w:r w:rsidRPr="00BD2E3F">
        <w:rPr>
          <w:spacing w:val="-15"/>
          <w:szCs w:val="24"/>
        </w:rPr>
        <w:t xml:space="preserve"> </w:t>
      </w:r>
      <w:r w:rsidRPr="00BD2E3F">
        <w:rPr>
          <w:szCs w:val="24"/>
        </w:rPr>
        <w:t>health, well-being and living conditions;</w:t>
      </w:r>
    </w:p>
    <w:p w14:paraId="19EF6C81" w14:textId="77777777" w:rsidR="007B34B4" w:rsidRPr="00BD2E3F" w:rsidRDefault="007B34B4" w:rsidP="00273881">
      <w:pPr>
        <w:pStyle w:val="NormalHanging12a"/>
        <w:widowControl/>
      </w:pPr>
      <w:r w:rsidRPr="00BD2E3F">
        <w:rPr>
          <w:spacing w:val="-2"/>
          <w:szCs w:val="24"/>
          <w:lang w:eastAsia="en-US"/>
        </w:rPr>
        <w:t>D.</w:t>
      </w:r>
      <w:r w:rsidRPr="00BD2E3F">
        <w:rPr>
          <w:spacing w:val="-2"/>
          <w:szCs w:val="24"/>
          <w:lang w:eastAsia="en-US"/>
        </w:rPr>
        <w:tab/>
      </w:r>
      <w:r w:rsidRPr="00BD2E3F">
        <w:t>whereas protecting private property and ensuring legal certainty for private owners, including</w:t>
      </w:r>
      <w:r w:rsidRPr="00BD2E3F">
        <w:rPr>
          <w:spacing w:val="-3"/>
        </w:rPr>
        <w:t xml:space="preserve"> </w:t>
      </w:r>
      <w:r w:rsidRPr="00BD2E3F">
        <w:t>best</w:t>
      </w:r>
      <w:r w:rsidRPr="00BD2E3F">
        <w:rPr>
          <w:spacing w:val="-3"/>
        </w:rPr>
        <w:t xml:space="preserve"> </w:t>
      </w:r>
      <w:r w:rsidRPr="00BD2E3F">
        <w:t>practices</w:t>
      </w:r>
      <w:r w:rsidRPr="00BD2E3F">
        <w:rPr>
          <w:spacing w:val="-4"/>
        </w:rPr>
        <w:t xml:space="preserve"> </w:t>
      </w:r>
      <w:r w:rsidRPr="00BD2E3F">
        <w:t>in</w:t>
      </w:r>
      <w:r w:rsidRPr="00BD2E3F">
        <w:rPr>
          <w:spacing w:val="-3"/>
        </w:rPr>
        <w:t xml:space="preserve"> </w:t>
      </w:r>
      <w:r w:rsidRPr="00BD2E3F">
        <w:t>relation</w:t>
      </w:r>
      <w:r w:rsidRPr="00BD2E3F">
        <w:rPr>
          <w:spacing w:val="-3"/>
        </w:rPr>
        <w:t xml:space="preserve"> </w:t>
      </w:r>
      <w:r w:rsidRPr="00BD2E3F">
        <w:t>to</w:t>
      </w:r>
      <w:r w:rsidRPr="00BD2E3F">
        <w:rPr>
          <w:spacing w:val="-3"/>
        </w:rPr>
        <w:t xml:space="preserve"> </w:t>
      </w:r>
      <w:r w:rsidRPr="00BD2E3F">
        <w:t>the</w:t>
      </w:r>
      <w:r w:rsidRPr="00BD2E3F">
        <w:rPr>
          <w:spacing w:val="-3"/>
        </w:rPr>
        <w:t xml:space="preserve"> </w:t>
      </w:r>
      <w:r w:rsidRPr="00BD2E3F">
        <w:t>fight</w:t>
      </w:r>
      <w:r w:rsidRPr="00BD2E3F">
        <w:rPr>
          <w:spacing w:val="-3"/>
        </w:rPr>
        <w:t xml:space="preserve"> </w:t>
      </w:r>
      <w:r w:rsidRPr="00BD2E3F">
        <w:t>against</w:t>
      </w:r>
      <w:r w:rsidRPr="00BD2E3F">
        <w:rPr>
          <w:spacing w:val="-3"/>
        </w:rPr>
        <w:t xml:space="preserve"> </w:t>
      </w:r>
      <w:r w:rsidRPr="00BD2E3F">
        <w:t>squatting,</w:t>
      </w:r>
      <w:r w:rsidRPr="00BD2E3F">
        <w:rPr>
          <w:spacing w:val="-3"/>
        </w:rPr>
        <w:t xml:space="preserve"> </w:t>
      </w:r>
      <w:r w:rsidRPr="00BD2E3F">
        <w:t>as</w:t>
      </w:r>
      <w:r w:rsidRPr="00BD2E3F">
        <w:rPr>
          <w:spacing w:val="-3"/>
        </w:rPr>
        <w:t xml:space="preserve"> </w:t>
      </w:r>
      <w:r w:rsidRPr="00BD2E3F">
        <w:t>well</w:t>
      </w:r>
      <w:r w:rsidRPr="00BD2E3F">
        <w:rPr>
          <w:spacing w:val="-3"/>
        </w:rPr>
        <w:t xml:space="preserve"> </w:t>
      </w:r>
      <w:r w:rsidRPr="00BD2E3F">
        <w:t>as</w:t>
      </w:r>
      <w:r w:rsidRPr="00BD2E3F">
        <w:rPr>
          <w:spacing w:val="-4"/>
        </w:rPr>
        <w:t xml:space="preserve"> </w:t>
      </w:r>
      <w:r w:rsidRPr="00BD2E3F">
        <w:t xml:space="preserve">protecting people from evictions, are important aspects at national level affecting housing availability and the right to housing in certain Member </w:t>
      </w:r>
      <w:proofErr w:type="gramStart"/>
      <w:r w:rsidRPr="00BD2E3F">
        <w:t>States;</w:t>
      </w:r>
      <w:proofErr w:type="gramEnd"/>
    </w:p>
    <w:p w14:paraId="11226217" w14:textId="77777777" w:rsidR="007B34B4" w:rsidRPr="00BD2E3F" w:rsidRDefault="007B34B4" w:rsidP="00273881">
      <w:pPr>
        <w:pStyle w:val="NormalHanging12a"/>
        <w:widowControl/>
      </w:pPr>
      <w:r w:rsidRPr="00BD2E3F">
        <w:rPr>
          <w:spacing w:val="-2"/>
          <w:szCs w:val="24"/>
          <w:lang w:eastAsia="en-US"/>
        </w:rPr>
        <w:t>E.</w:t>
      </w:r>
      <w:r w:rsidRPr="00BD2E3F">
        <w:rPr>
          <w:spacing w:val="-2"/>
          <w:szCs w:val="24"/>
          <w:lang w:eastAsia="en-US"/>
        </w:rPr>
        <w:tab/>
      </w:r>
      <w:r w:rsidRPr="00BD2E3F">
        <w:t xml:space="preserve">whereas housing policies fall primarily within the competences of Member States, and the Union is bound to comply with the principle of subsidiarity in accordance with Article 5(1) </w:t>
      </w:r>
      <w:proofErr w:type="gramStart"/>
      <w:r w:rsidRPr="00BD2E3F">
        <w:t>TEU;</w:t>
      </w:r>
      <w:proofErr w:type="gramEnd"/>
      <w:r w:rsidRPr="00BD2E3F">
        <w:t xml:space="preserve"> whereas the Union plays a key role in enabling and enhancing the capacity of Member States, regions and municipalities to respond to the housing crisis;</w:t>
      </w:r>
    </w:p>
    <w:p w14:paraId="6F19BBEF" w14:textId="77777777" w:rsidR="007B34B4" w:rsidRPr="00BD2E3F" w:rsidRDefault="007B34B4" w:rsidP="00273881">
      <w:pPr>
        <w:pStyle w:val="NormalHanging12a"/>
        <w:widowControl/>
      </w:pPr>
      <w:r w:rsidRPr="00BD2E3F">
        <w:rPr>
          <w:spacing w:val="-2"/>
          <w:szCs w:val="24"/>
          <w:lang w:eastAsia="en-US"/>
        </w:rPr>
        <w:t>F.</w:t>
      </w:r>
      <w:r w:rsidRPr="00BD2E3F">
        <w:rPr>
          <w:spacing w:val="-2"/>
          <w:szCs w:val="24"/>
          <w:lang w:eastAsia="en-US"/>
        </w:rPr>
        <w:tab/>
      </w:r>
      <w:r w:rsidRPr="00BD2E3F">
        <w:t xml:space="preserve">whereas there is a need to have a holistic approach on housing combining different policies dealt with in different committees within </w:t>
      </w:r>
      <w:proofErr w:type="gramStart"/>
      <w:r w:rsidRPr="00BD2E3F">
        <w:t>Parliament;</w:t>
      </w:r>
      <w:proofErr w:type="gramEnd"/>
    </w:p>
    <w:p w14:paraId="494BA6C7" w14:textId="77777777" w:rsidR="007B34B4" w:rsidRPr="00BD2E3F" w:rsidRDefault="007B34B4" w:rsidP="00273881">
      <w:pPr>
        <w:pStyle w:val="NormalHanging12a"/>
        <w:widowControl/>
      </w:pPr>
      <w:r w:rsidRPr="00BD2E3F">
        <w:rPr>
          <w:szCs w:val="24"/>
          <w:lang w:eastAsia="en-US"/>
        </w:rPr>
        <w:t>1.</w:t>
      </w:r>
      <w:r w:rsidRPr="00BD2E3F">
        <w:rPr>
          <w:szCs w:val="24"/>
          <w:lang w:eastAsia="en-US"/>
        </w:rPr>
        <w:tab/>
      </w:r>
      <w:r w:rsidRPr="00BD2E3F">
        <w:t>Decides</w:t>
      </w:r>
      <w:r w:rsidRPr="00BD2E3F">
        <w:rPr>
          <w:spacing w:val="-4"/>
        </w:rPr>
        <w:t xml:space="preserve"> </w:t>
      </w:r>
      <w:r w:rsidRPr="00BD2E3F">
        <w:t>to</w:t>
      </w:r>
      <w:r w:rsidRPr="00BD2E3F">
        <w:rPr>
          <w:spacing w:val="-3"/>
        </w:rPr>
        <w:t xml:space="preserve"> extend the term of office of the </w:t>
      </w:r>
      <w:r w:rsidRPr="00BD2E3F">
        <w:t>special</w:t>
      </w:r>
      <w:r w:rsidRPr="00BD2E3F">
        <w:rPr>
          <w:spacing w:val="-3"/>
        </w:rPr>
        <w:t xml:space="preserve"> </w:t>
      </w:r>
      <w:r w:rsidRPr="00BD2E3F">
        <w:t>committee</w:t>
      </w:r>
      <w:r w:rsidRPr="00BD2E3F">
        <w:rPr>
          <w:spacing w:val="-3"/>
        </w:rPr>
        <w:t xml:space="preserve"> </w:t>
      </w:r>
      <w:r w:rsidRPr="00BD2E3F">
        <w:t>named</w:t>
      </w:r>
      <w:r w:rsidRPr="00BD2E3F">
        <w:rPr>
          <w:spacing w:val="-3"/>
        </w:rPr>
        <w:t xml:space="preserve"> </w:t>
      </w:r>
      <w:r w:rsidRPr="00BD2E3F">
        <w:t>‘Special</w:t>
      </w:r>
      <w:r w:rsidRPr="00BD2E3F">
        <w:rPr>
          <w:spacing w:val="-4"/>
        </w:rPr>
        <w:t xml:space="preserve"> </w:t>
      </w:r>
      <w:r w:rsidRPr="00BD2E3F">
        <w:t>committee</w:t>
      </w:r>
      <w:r w:rsidRPr="00BD2E3F">
        <w:rPr>
          <w:spacing w:val="-3"/>
        </w:rPr>
        <w:t xml:space="preserve"> </w:t>
      </w:r>
      <w:r w:rsidRPr="00BD2E3F">
        <w:t>on</w:t>
      </w:r>
      <w:r w:rsidRPr="00BD2E3F">
        <w:rPr>
          <w:spacing w:val="-3"/>
        </w:rPr>
        <w:t xml:space="preserve"> </w:t>
      </w:r>
      <w:r w:rsidRPr="00BD2E3F">
        <w:t>the</w:t>
      </w:r>
      <w:r w:rsidRPr="00BD2E3F">
        <w:rPr>
          <w:spacing w:val="-3"/>
        </w:rPr>
        <w:t xml:space="preserve"> </w:t>
      </w:r>
      <w:r w:rsidRPr="00BD2E3F">
        <w:t>Housing</w:t>
      </w:r>
      <w:r w:rsidRPr="00BD2E3F">
        <w:rPr>
          <w:spacing w:val="-4"/>
        </w:rPr>
        <w:t xml:space="preserve"> </w:t>
      </w:r>
      <w:r w:rsidRPr="00BD2E3F">
        <w:t>Crisis in</w:t>
      </w:r>
      <w:r w:rsidRPr="00BD2E3F">
        <w:rPr>
          <w:spacing w:val="-1"/>
        </w:rPr>
        <w:t xml:space="preserve"> </w:t>
      </w:r>
      <w:r w:rsidRPr="00BD2E3F">
        <w:t>the</w:t>
      </w:r>
      <w:r w:rsidRPr="00BD2E3F">
        <w:rPr>
          <w:spacing w:val="-1"/>
        </w:rPr>
        <w:t xml:space="preserve"> </w:t>
      </w:r>
      <w:r w:rsidRPr="00BD2E3F">
        <w:t>European</w:t>
      </w:r>
      <w:r w:rsidRPr="00BD2E3F">
        <w:rPr>
          <w:spacing w:val="-1"/>
        </w:rPr>
        <w:t xml:space="preserve"> </w:t>
      </w:r>
      <w:r w:rsidRPr="00BD2E3F">
        <w:t>Union’</w:t>
      </w:r>
      <w:r w:rsidRPr="00BD2E3F">
        <w:rPr>
          <w:spacing w:val="-1"/>
        </w:rPr>
        <w:t xml:space="preserve"> by six months </w:t>
      </w:r>
      <w:r w:rsidRPr="00BD2E3F">
        <w:t>with</w:t>
      </w:r>
      <w:r w:rsidRPr="00BD2E3F">
        <w:rPr>
          <w:spacing w:val="-1"/>
        </w:rPr>
        <w:t xml:space="preserve"> </w:t>
      </w:r>
      <w:r w:rsidRPr="00BD2E3F">
        <w:t>the</w:t>
      </w:r>
      <w:r w:rsidRPr="00BD2E3F">
        <w:rPr>
          <w:spacing w:val="-1"/>
        </w:rPr>
        <w:t xml:space="preserve"> </w:t>
      </w:r>
      <w:r w:rsidRPr="00BD2E3F">
        <w:t>aim</w:t>
      </w:r>
      <w:r w:rsidRPr="00BD2E3F">
        <w:rPr>
          <w:spacing w:val="-1"/>
        </w:rPr>
        <w:t xml:space="preserve"> </w:t>
      </w:r>
      <w:r w:rsidRPr="00BD2E3F">
        <w:t>of</w:t>
      </w:r>
      <w:r w:rsidRPr="00BD2E3F">
        <w:rPr>
          <w:spacing w:val="-1"/>
        </w:rPr>
        <w:t xml:space="preserve"> monitoring the </w:t>
      </w:r>
      <w:r w:rsidRPr="00BD2E3F">
        <w:t>solutions</w:t>
      </w:r>
      <w:r w:rsidRPr="00BD2E3F">
        <w:rPr>
          <w:spacing w:val="-2"/>
        </w:rPr>
        <w:t xml:space="preserve"> proposed in its resolution of 10 March 2026 </w:t>
      </w:r>
      <w:r w:rsidRPr="00BD2E3F">
        <w:t>for</w:t>
      </w:r>
      <w:r w:rsidRPr="00BD2E3F">
        <w:rPr>
          <w:spacing w:val="-1"/>
        </w:rPr>
        <w:t xml:space="preserve"> </w:t>
      </w:r>
      <w:r w:rsidRPr="00BD2E3F">
        <w:t>decent,</w:t>
      </w:r>
      <w:r w:rsidRPr="00BD2E3F">
        <w:rPr>
          <w:spacing w:val="-1"/>
        </w:rPr>
        <w:t xml:space="preserve"> </w:t>
      </w:r>
      <w:r w:rsidRPr="00BD2E3F">
        <w:t>sustainable</w:t>
      </w:r>
      <w:r w:rsidRPr="00BD2E3F">
        <w:rPr>
          <w:spacing w:val="-1"/>
        </w:rPr>
        <w:t xml:space="preserve"> </w:t>
      </w:r>
      <w:r w:rsidRPr="00BD2E3F">
        <w:t xml:space="preserve">and affordable </w:t>
      </w:r>
      <w:proofErr w:type="gramStart"/>
      <w:r w:rsidRPr="00BD2E3F">
        <w:t>housing;</w:t>
      </w:r>
      <w:proofErr w:type="gramEnd"/>
    </w:p>
    <w:p w14:paraId="7649E9F2" w14:textId="77777777" w:rsidR="007B34B4" w:rsidRPr="00BD2E3F" w:rsidRDefault="007B34B4" w:rsidP="00273881">
      <w:pPr>
        <w:pStyle w:val="NormalHanging12a"/>
        <w:widowControl/>
      </w:pPr>
      <w:r w:rsidRPr="00BD2E3F">
        <w:rPr>
          <w:szCs w:val="24"/>
          <w:lang w:eastAsia="en-US"/>
        </w:rPr>
        <w:t>2.</w:t>
      </w:r>
      <w:r w:rsidRPr="00BD2E3F">
        <w:rPr>
          <w:szCs w:val="24"/>
          <w:lang w:eastAsia="en-US"/>
        </w:rPr>
        <w:tab/>
      </w:r>
      <w:r w:rsidRPr="00BD2E3F">
        <w:t>Decides that that committee shall carry out, in cooperation and consultation with the competent standing committees where their powers and responsibilities under Annex VI to the Rules of Procedure are concerned, the following responsibilities:</w:t>
      </w:r>
    </w:p>
    <w:p w14:paraId="0CA0D7F6" w14:textId="77777777" w:rsidR="007B34B4" w:rsidRPr="00BD2E3F" w:rsidRDefault="007B34B4" w:rsidP="00273881">
      <w:pPr>
        <w:pStyle w:val="NormalHanging12a"/>
        <w:widowControl/>
        <w:ind w:left="1134"/>
      </w:pPr>
      <w:r w:rsidRPr="00BD2E3F">
        <w:t>(a)</w:t>
      </w:r>
      <w:r w:rsidRPr="00BD2E3F">
        <w:tab/>
        <w:t xml:space="preserve">to monitor the Commission’s response to its resolution of 10 March 2026 and to further promote the policy proposals put forward in that resolution and coordinate with the Commission and the Member States to this </w:t>
      </w:r>
      <w:proofErr w:type="gramStart"/>
      <w:r w:rsidRPr="00BD2E3F">
        <w:t>end;</w:t>
      </w:r>
      <w:proofErr w:type="gramEnd"/>
    </w:p>
    <w:p w14:paraId="1189B357" w14:textId="77777777" w:rsidR="007B34B4" w:rsidRPr="00BD2E3F" w:rsidRDefault="007B34B4" w:rsidP="00273881">
      <w:pPr>
        <w:pStyle w:val="NormalHanging12a"/>
        <w:widowControl/>
        <w:ind w:left="1134"/>
      </w:pPr>
      <w:r w:rsidRPr="00BD2E3F">
        <w:t>(b)</w:t>
      </w:r>
      <w:r w:rsidRPr="00BD2E3F">
        <w:tab/>
        <w:t xml:space="preserve">to keep mapping the existing relevant Union, national, regional and local housing policies with a focus on the availability of targeted instruments for social, sustainable and affordable housing in cities, islands and coastal and rural areas with a view to identifying and issuing recommendations, including policies dedicated to housing accessibility for people with disabilities or reduced </w:t>
      </w:r>
      <w:proofErr w:type="gramStart"/>
      <w:r w:rsidRPr="00BD2E3F">
        <w:t>mobility;</w:t>
      </w:r>
      <w:proofErr w:type="gramEnd"/>
    </w:p>
    <w:p w14:paraId="6AB1C235" w14:textId="77777777" w:rsidR="007B34B4" w:rsidRPr="00BD2E3F" w:rsidRDefault="007B34B4" w:rsidP="00273881">
      <w:pPr>
        <w:pStyle w:val="NormalHanging12a"/>
        <w:widowControl/>
        <w:ind w:left="1134"/>
      </w:pPr>
      <w:r w:rsidRPr="00BD2E3F">
        <w:lastRenderedPageBreak/>
        <w:t>(c)</w:t>
      </w:r>
      <w:r w:rsidRPr="00BD2E3F">
        <w:tab/>
        <w:t xml:space="preserve">to identify and propose priorities on all Union legislation relevant to housing and actively participate in the forthcoming housing simplification procedure that the Commission will deliver in 2027 with a view to accelerating and simplifying permitting and renovation processes while reducing unnecessary </w:t>
      </w:r>
      <w:proofErr w:type="gramStart"/>
      <w:r w:rsidRPr="00BD2E3F">
        <w:t>burdens;</w:t>
      </w:r>
      <w:proofErr w:type="gramEnd"/>
    </w:p>
    <w:p w14:paraId="40744E89" w14:textId="7CD329F2" w:rsidR="007B34B4" w:rsidRPr="00BD2E3F" w:rsidRDefault="007B34B4" w:rsidP="00273881">
      <w:pPr>
        <w:pStyle w:val="NormalHanging12a"/>
        <w:widowControl/>
        <w:ind w:left="1134"/>
      </w:pPr>
      <w:r w:rsidRPr="00BD2E3F">
        <w:t>(</w:t>
      </w:r>
      <w:r w:rsidR="00371F64">
        <w:t>d</w:t>
      </w:r>
      <w:r w:rsidRPr="00BD2E3F">
        <w:t>)</w:t>
      </w:r>
      <w:r w:rsidRPr="00BD2E3F">
        <w:tab/>
        <w:t xml:space="preserve">to coordinate with the Commission in order to identify best models and practices in the Member States to grant legal certainty and protection to property owners and tenants in order to ensure stability and </w:t>
      </w:r>
      <w:proofErr w:type="gramStart"/>
      <w:r w:rsidRPr="00BD2E3F">
        <w:t>affordability;</w:t>
      </w:r>
      <w:proofErr w:type="gramEnd"/>
    </w:p>
    <w:p w14:paraId="48F5AB18" w14:textId="4BFD194E" w:rsidR="007B34B4" w:rsidRPr="00BD2E3F" w:rsidRDefault="007B34B4" w:rsidP="00273881">
      <w:pPr>
        <w:pStyle w:val="NormalHanging12a"/>
        <w:widowControl/>
        <w:ind w:left="1134"/>
      </w:pPr>
      <w:r w:rsidRPr="00BD2E3F">
        <w:t>(</w:t>
      </w:r>
      <w:r w:rsidR="00371F64">
        <w:t>e</w:t>
      </w:r>
      <w:r w:rsidRPr="00BD2E3F">
        <w:t>)</w:t>
      </w:r>
      <w:r w:rsidRPr="00BD2E3F">
        <w:tab/>
        <w:t xml:space="preserve">to assess potential barriers affecting the construction sector and their impact on the housing </w:t>
      </w:r>
      <w:proofErr w:type="gramStart"/>
      <w:r w:rsidRPr="00BD2E3F">
        <w:t>crisis;</w:t>
      </w:r>
      <w:proofErr w:type="gramEnd"/>
    </w:p>
    <w:p w14:paraId="13B1A2F2" w14:textId="47C0B0DC" w:rsidR="007B34B4" w:rsidRPr="00BD2E3F" w:rsidRDefault="007B34B4" w:rsidP="00273881">
      <w:pPr>
        <w:pStyle w:val="NormalHanging12a"/>
        <w:widowControl/>
        <w:ind w:left="1134"/>
      </w:pPr>
      <w:r w:rsidRPr="00BD2E3F">
        <w:t>(</w:t>
      </w:r>
      <w:r w:rsidR="00371F64">
        <w:t>f</w:t>
      </w:r>
      <w:r w:rsidRPr="00BD2E3F">
        <w:t>)</w:t>
      </w:r>
      <w:r w:rsidRPr="00BD2E3F">
        <w:tab/>
        <w:t xml:space="preserve">to organise regular meetings with European Investment Bank representatives to monitor the implementation of the new Pan-European Investment Platform for affordable and sustainable housing, including a digital portal, an expert group and national hubs planned for the third trimester of </w:t>
      </w:r>
      <w:proofErr w:type="gramStart"/>
      <w:r w:rsidRPr="00BD2E3F">
        <w:t>2026;</w:t>
      </w:r>
      <w:proofErr w:type="gramEnd"/>
    </w:p>
    <w:p w14:paraId="20C4CE9F" w14:textId="464DB480" w:rsidR="007B34B4" w:rsidRPr="00BD2E3F" w:rsidRDefault="007B34B4" w:rsidP="00273881">
      <w:pPr>
        <w:pStyle w:val="NormalHanging12a"/>
        <w:widowControl/>
        <w:ind w:left="1134"/>
      </w:pPr>
      <w:r w:rsidRPr="00BD2E3F">
        <w:t>(</w:t>
      </w:r>
      <w:r w:rsidR="00371F64">
        <w:t>g</w:t>
      </w:r>
      <w:r w:rsidRPr="00BD2E3F">
        <w:t>)</w:t>
      </w:r>
      <w:r w:rsidRPr="00BD2E3F">
        <w:tab/>
        <w:t xml:space="preserve">to analyse the impact of abusive </w:t>
      </w:r>
      <w:proofErr w:type="spellStart"/>
      <w:r w:rsidRPr="00BD2E3F">
        <w:t>financialisation</w:t>
      </w:r>
      <w:proofErr w:type="spellEnd"/>
      <w:r w:rsidRPr="00BD2E3F">
        <w:t xml:space="preserve"> practices and speculation and their economic consequences, as well as to propose follow-up </w:t>
      </w:r>
      <w:proofErr w:type="gramStart"/>
      <w:r w:rsidRPr="00BD2E3F">
        <w:t>actions;</w:t>
      </w:r>
      <w:proofErr w:type="gramEnd"/>
    </w:p>
    <w:p w14:paraId="39375FC9" w14:textId="2E125E67" w:rsidR="007B34B4" w:rsidRPr="00BD2E3F" w:rsidRDefault="007B34B4" w:rsidP="00273881">
      <w:pPr>
        <w:pStyle w:val="NormalHanging12a"/>
        <w:widowControl/>
        <w:ind w:left="1134"/>
      </w:pPr>
      <w:r w:rsidRPr="00BD2E3F">
        <w:t>(</w:t>
      </w:r>
      <w:r w:rsidR="00371F64">
        <w:t>h</w:t>
      </w:r>
      <w:r w:rsidRPr="00BD2E3F">
        <w:t>)</w:t>
      </w:r>
      <w:r w:rsidRPr="00BD2E3F">
        <w:tab/>
        <w:t xml:space="preserve">to assess whether the trend in house prices and rents is adequately taken into account in the cost-of-living indicators and related </w:t>
      </w:r>
      <w:proofErr w:type="gramStart"/>
      <w:r w:rsidRPr="00BD2E3F">
        <w:t>policies;</w:t>
      </w:r>
      <w:proofErr w:type="gramEnd"/>
    </w:p>
    <w:p w14:paraId="1C627A70" w14:textId="11BC6F56" w:rsidR="007B34B4" w:rsidRPr="00BD2E3F" w:rsidRDefault="007B34B4" w:rsidP="00273881">
      <w:pPr>
        <w:pStyle w:val="NormalHanging12a"/>
        <w:widowControl/>
        <w:ind w:left="1134"/>
      </w:pPr>
      <w:r w:rsidRPr="00BD2E3F">
        <w:t>(</w:t>
      </w:r>
      <w:proofErr w:type="spellStart"/>
      <w:r w:rsidR="00371F64">
        <w:t>i</w:t>
      </w:r>
      <w:proofErr w:type="spellEnd"/>
      <w:r w:rsidRPr="00BD2E3F">
        <w:t>)</w:t>
      </w:r>
      <w:r w:rsidRPr="00BD2E3F">
        <w:tab/>
        <w:t xml:space="preserve">to map and to assess the effectiveness of public and private Union and national resources, including existing Union funds dedicated to decent, sustainable and affordable housing and to the eradication of </w:t>
      </w:r>
      <w:proofErr w:type="gramStart"/>
      <w:r w:rsidRPr="00BD2E3F">
        <w:t>homelessness;</w:t>
      </w:r>
      <w:proofErr w:type="gramEnd"/>
    </w:p>
    <w:p w14:paraId="08FFDB0E" w14:textId="0507E886" w:rsidR="007B34B4" w:rsidRPr="00BD2E3F" w:rsidRDefault="007B34B4" w:rsidP="00273881">
      <w:pPr>
        <w:pStyle w:val="NormalHanging12a"/>
        <w:widowControl/>
        <w:ind w:left="1134"/>
      </w:pPr>
      <w:r w:rsidRPr="00BD2E3F">
        <w:t>(</w:t>
      </w:r>
      <w:r w:rsidR="00371F64">
        <w:t>j</w:t>
      </w:r>
      <w:r w:rsidRPr="00BD2E3F">
        <w:t>)</w:t>
      </w:r>
      <w:r w:rsidRPr="00BD2E3F">
        <w:tab/>
        <w:t xml:space="preserve">to analyse systemic issues with short-term accommodation rentals and their impact on the availability of affordable housing in particularly affected areas and to make relevant proposals as a contribution to the preparation of forthcoming Union legislative measures in this </w:t>
      </w:r>
      <w:proofErr w:type="gramStart"/>
      <w:r w:rsidRPr="00BD2E3F">
        <w:t>area;</w:t>
      </w:r>
      <w:proofErr w:type="gramEnd"/>
    </w:p>
    <w:p w14:paraId="5A835CAF" w14:textId="1B700B96" w:rsidR="007B34B4" w:rsidRPr="00BD2E3F" w:rsidRDefault="007B34B4" w:rsidP="00273881">
      <w:pPr>
        <w:pStyle w:val="NormalHanging12a"/>
        <w:widowControl/>
        <w:ind w:left="1134"/>
      </w:pPr>
      <w:r w:rsidRPr="00BD2E3F">
        <w:t>(</w:t>
      </w:r>
      <w:r w:rsidR="00371F64">
        <w:t>k</w:t>
      </w:r>
      <w:r w:rsidRPr="00BD2E3F">
        <w:t>)</w:t>
      </w:r>
      <w:r w:rsidRPr="00BD2E3F">
        <w:tab/>
        <w:t xml:space="preserve">to monitor the implementation of the Union legislation on data collection and sharing relating to short-term accommodation rental services, which had to be adopted at national level by 20 May </w:t>
      </w:r>
      <w:proofErr w:type="gramStart"/>
      <w:r w:rsidRPr="00BD2E3F">
        <w:t>2026;</w:t>
      </w:r>
      <w:proofErr w:type="gramEnd"/>
    </w:p>
    <w:p w14:paraId="7C87930B" w14:textId="34794818" w:rsidR="007B34B4" w:rsidRPr="00BD2E3F" w:rsidRDefault="007B34B4" w:rsidP="00273881">
      <w:pPr>
        <w:pStyle w:val="NormalHanging12a"/>
        <w:widowControl/>
        <w:ind w:left="1134"/>
      </w:pPr>
      <w:r w:rsidRPr="00BD2E3F">
        <w:t>(</w:t>
      </w:r>
      <w:r w:rsidR="00371F64">
        <w:t>l</w:t>
      </w:r>
      <w:r w:rsidRPr="00BD2E3F">
        <w:t>)</w:t>
      </w:r>
      <w:r w:rsidRPr="00BD2E3F">
        <w:tab/>
        <w:t>to analyse effects of Union policies that influence the availability and affordability of housing, including bottlenecks in current Union regulations with regard to investment capacity, on housing and social housing, State aid and supply chain shortages, as well as to monitor the revision of State aid rules applicable to social and affordable housing providers and to assess their adequacy in light of identified investment needs;</w:t>
      </w:r>
    </w:p>
    <w:p w14:paraId="7820F54B" w14:textId="2BCF88F4" w:rsidR="007B34B4" w:rsidRPr="00BD2E3F" w:rsidRDefault="007B34B4" w:rsidP="00273881">
      <w:pPr>
        <w:pStyle w:val="NormalHanging12a"/>
        <w:widowControl/>
        <w:ind w:left="1134"/>
      </w:pPr>
      <w:r w:rsidRPr="00BD2E3F">
        <w:t>(</w:t>
      </w:r>
      <w:r w:rsidR="00371F64">
        <w:t>m</w:t>
      </w:r>
      <w:r w:rsidRPr="00BD2E3F">
        <w:t>)</w:t>
      </w:r>
      <w:r w:rsidRPr="00BD2E3F">
        <w:tab/>
        <w:t xml:space="preserve">to identify shortages in availability, sustainability and financing needs for affordable housing and to contribute to the multiannual financial framework discussions to ensure that dedicated housing investment capacity is clearly embedded with sufficient funding in the next financial </w:t>
      </w:r>
      <w:proofErr w:type="gramStart"/>
      <w:r w:rsidRPr="00BD2E3F">
        <w:t>framework;</w:t>
      </w:r>
      <w:proofErr w:type="gramEnd"/>
    </w:p>
    <w:p w14:paraId="236F3875" w14:textId="53C5B003" w:rsidR="007B34B4" w:rsidRPr="00BD2E3F" w:rsidRDefault="007B34B4" w:rsidP="00273881">
      <w:pPr>
        <w:pStyle w:val="NormalHanging12a"/>
        <w:widowControl/>
        <w:ind w:left="1134"/>
      </w:pPr>
      <w:r w:rsidRPr="00BD2E3F">
        <w:t>(</w:t>
      </w:r>
      <w:r w:rsidR="00371F64">
        <w:t>n</w:t>
      </w:r>
      <w:r w:rsidRPr="00BD2E3F">
        <w:t>)</w:t>
      </w:r>
      <w:r w:rsidRPr="00BD2E3F">
        <w:tab/>
        <w:t xml:space="preserve">to assess the impact and possible synergies of supporting public, cooperative, non-profit and limited-profit housing supply solutions on the affordability and accessibility of housing for different </w:t>
      </w:r>
      <w:proofErr w:type="gramStart"/>
      <w:r w:rsidRPr="00BD2E3F">
        <w:t>groups;</w:t>
      </w:r>
      <w:proofErr w:type="gramEnd"/>
    </w:p>
    <w:p w14:paraId="7CD59DDE" w14:textId="61FE45D8" w:rsidR="007B34B4" w:rsidRPr="00BD2E3F" w:rsidRDefault="007B34B4" w:rsidP="00273881">
      <w:pPr>
        <w:pStyle w:val="NormalHanging12a"/>
        <w:widowControl/>
        <w:ind w:left="1134"/>
      </w:pPr>
      <w:r w:rsidRPr="00BD2E3F">
        <w:lastRenderedPageBreak/>
        <w:t>(</w:t>
      </w:r>
      <w:r w:rsidR="00371F64">
        <w:t>o</w:t>
      </w:r>
      <w:r w:rsidRPr="00BD2E3F">
        <w:t>)</w:t>
      </w:r>
      <w:r w:rsidRPr="00BD2E3F">
        <w:tab/>
        <w:t xml:space="preserve">to organise meetings with experts from the Union institutions and competent authorities, international, national and regional institutions, non-governmental organisations and relevant sectors of the economy, taking into account the perspectives of a range of stakeholders in order to support the Commission in delivering on the EU Affordable Housing Plan and in the context of the European Housing </w:t>
      </w:r>
      <w:proofErr w:type="gramStart"/>
      <w:r w:rsidRPr="00BD2E3F">
        <w:t>Alliance;</w:t>
      </w:r>
      <w:proofErr w:type="gramEnd"/>
    </w:p>
    <w:p w14:paraId="2A1644C9" w14:textId="72CA58BD" w:rsidR="007B34B4" w:rsidRPr="00BD2E3F" w:rsidRDefault="007B34B4" w:rsidP="00273881">
      <w:pPr>
        <w:pStyle w:val="NormalHanging12a"/>
        <w:widowControl/>
        <w:ind w:left="1134"/>
      </w:pPr>
      <w:r w:rsidRPr="00BD2E3F">
        <w:t>(</w:t>
      </w:r>
      <w:r w:rsidR="00371F64">
        <w:t>p</w:t>
      </w:r>
      <w:r w:rsidRPr="00BD2E3F">
        <w:t>)</w:t>
      </w:r>
      <w:r w:rsidRPr="00BD2E3F">
        <w:tab/>
        <w:t xml:space="preserve">to conduct visits to study best practices around </w:t>
      </w:r>
      <w:proofErr w:type="gramStart"/>
      <w:r w:rsidRPr="00BD2E3F">
        <w:t>Europe;</w:t>
      </w:r>
      <w:proofErr w:type="gramEnd"/>
    </w:p>
    <w:p w14:paraId="3359A5AB" w14:textId="57BB52BB" w:rsidR="007B34B4" w:rsidRPr="00BD2E3F" w:rsidRDefault="007B34B4" w:rsidP="00273881">
      <w:pPr>
        <w:pStyle w:val="NormalHanging12a"/>
        <w:widowControl/>
        <w:ind w:left="1134"/>
      </w:pPr>
      <w:r w:rsidRPr="00BD2E3F">
        <w:t>(</w:t>
      </w:r>
      <w:r w:rsidR="00371F64">
        <w:t>q</w:t>
      </w:r>
      <w:r w:rsidRPr="00BD2E3F">
        <w:t>)</w:t>
      </w:r>
      <w:r w:rsidRPr="00BD2E3F">
        <w:tab/>
        <w:t xml:space="preserve">to prepare for, and follow up on, the EU Housing Summit </w:t>
      </w:r>
      <w:proofErr w:type="gramStart"/>
      <w:r w:rsidRPr="00BD2E3F">
        <w:t>2026;</w:t>
      </w:r>
      <w:proofErr w:type="gramEnd"/>
    </w:p>
    <w:p w14:paraId="566794CE" w14:textId="4861A461" w:rsidR="00E365E1" w:rsidRPr="00BD2E3F" w:rsidRDefault="007B34B4" w:rsidP="00733D40">
      <w:pPr>
        <w:pStyle w:val="NormalHanging12a"/>
        <w:widowControl/>
        <w:rPr>
          <w:sz w:val="28"/>
          <w:lang w:eastAsia="fr-FR"/>
        </w:rPr>
      </w:pPr>
      <w:r w:rsidRPr="00BD2E3F">
        <w:rPr>
          <w:szCs w:val="24"/>
          <w:lang w:eastAsia="en-US"/>
        </w:rPr>
        <w:t>3.</w:t>
      </w:r>
      <w:r w:rsidRPr="00BD2E3F">
        <w:rPr>
          <w:szCs w:val="24"/>
          <w:lang w:eastAsia="en-US"/>
        </w:rPr>
        <w:tab/>
      </w:r>
      <w:r w:rsidRPr="00BD2E3F">
        <w:t>Invites the special committee to present, at the end of its extended term of office, its conclusions regarding the implementation of Parliament’s resolution of 10 March 2026.</w:t>
      </w:r>
    </w:p>
    <w:sectPr w:rsidR="00E365E1" w:rsidRPr="00BD2E3F" w:rsidSect="00BD2E3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1D677" w14:textId="77777777" w:rsidR="006B2625" w:rsidRPr="00BD2E3F" w:rsidRDefault="006B2625">
      <w:r w:rsidRPr="00BD2E3F">
        <w:separator/>
      </w:r>
    </w:p>
  </w:endnote>
  <w:endnote w:type="continuationSeparator" w:id="0">
    <w:p w14:paraId="141680C3" w14:textId="77777777" w:rsidR="006B2625" w:rsidRPr="00BD2E3F" w:rsidRDefault="006B2625">
      <w:r w:rsidRPr="00BD2E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B490B" w14:textId="77777777" w:rsidR="00064002" w:rsidRPr="00BD2E3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68F3" w14:textId="77777777" w:rsidR="00064002" w:rsidRPr="00BD2E3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7DF5" w14:textId="77777777" w:rsidR="00064002" w:rsidRPr="00BD2E3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85CD0" w14:textId="77777777" w:rsidR="006B2625" w:rsidRPr="00BD2E3F" w:rsidRDefault="006B2625">
      <w:r w:rsidRPr="00BD2E3F">
        <w:separator/>
      </w:r>
    </w:p>
  </w:footnote>
  <w:footnote w:type="continuationSeparator" w:id="0">
    <w:p w14:paraId="6CB1C53D" w14:textId="77777777" w:rsidR="006B2625" w:rsidRPr="00BD2E3F" w:rsidRDefault="006B2625">
      <w:r w:rsidRPr="00BD2E3F">
        <w:continuationSeparator/>
      </w:r>
    </w:p>
  </w:footnote>
  <w:footnote w:id="1">
    <w:p w14:paraId="72AF686E" w14:textId="59F114EF" w:rsidR="007B34B4" w:rsidRPr="00733D40" w:rsidRDefault="007B34B4" w:rsidP="00BD2E3F">
      <w:pPr>
        <w:pStyle w:val="FootnoteText"/>
        <w:ind w:left="567" w:hanging="567"/>
        <w:rPr>
          <w:spacing w:val="-4"/>
          <w:sz w:val="24"/>
          <w:lang w:val="fi-FI"/>
        </w:rPr>
      </w:pPr>
      <w:r w:rsidRPr="00BD2E3F">
        <w:rPr>
          <w:rStyle w:val="FootnoteReference"/>
          <w:sz w:val="24"/>
          <w:lang w:val="en-GB"/>
        </w:rPr>
        <w:footnoteRef/>
      </w:r>
      <w:r w:rsidR="00BD2E3F" w:rsidRPr="00733D40">
        <w:rPr>
          <w:sz w:val="24"/>
          <w:lang w:val="fi-FI"/>
        </w:rPr>
        <w:t xml:space="preserve"> </w:t>
      </w:r>
      <w:r w:rsidR="00BD2E3F" w:rsidRPr="00733D40">
        <w:rPr>
          <w:sz w:val="24"/>
          <w:lang w:val="fi-FI"/>
        </w:rPr>
        <w:tab/>
      </w:r>
      <w:r w:rsidRPr="00733D40">
        <w:rPr>
          <w:sz w:val="24"/>
          <w:lang w:val="fi-FI"/>
        </w:rPr>
        <w:t>OJ</w:t>
      </w:r>
      <w:r w:rsidRPr="00733D40">
        <w:rPr>
          <w:spacing w:val="-4"/>
          <w:sz w:val="24"/>
          <w:lang w:val="fi-FI"/>
        </w:rPr>
        <w:t xml:space="preserve"> </w:t>
      </w:r>
      <w:r w:rsidRPr="00733D40">
        <w:rPr>
          <w:sz w:val="24"/>
          <w:lang w:val="fi-FI"/>
        </w:rPr>
        <w:t xml:space="preserve">C 456, 10.11.2021, p. </w:t>
      </w:r>
      <w:r w:rsidRPr="00733D40">
        <w:rPr>
          <w:spacing w:val="-4"/>
          <w:sz w:val="24"/>
          <w:lang w:val="fi-FI"/>
        </w:rPr>
        <w:t>145.</w:t>
      </w:r>
    </w:p>
  </w:footnote>
  <w:footnote w:id="2">
    <w:p w14:paraId="4E462EE2" w14:textId="0B611055" w:rsidR="007B34B4" w:rsidRPr="00733D40" w:rsidRDefault="007B34B4" w:rsidP="00BD2E3F">
      <w:pPr>
        <w:pStyle w:val="FootnoteText"/>
        <w:ind w:left="567" w:hanging="567"/>
        <w:rPr>
          <w:sz w:val="24"/>
          <w:lang w:val="fi-FI"/>
        </w:rPr>
      </w:pPr>
      <w:r w:rsidRPr="00BD2E3F">
        <w:rPr>
          <w:rStyle w:val="FootnoteReference"/>
          <w:sz w:val="24"/>
          <w:lang w:val="en-GB"/>
        </w:rPr>
        <w:footnoteRef/>
      </w:r>
      <w:r w:rsidR="00BD2E3F" w:rsidRPr="00733D40">
        <w:rPr>
          <w:sz w:val="24"/>
          <w:lang w:val="fi-FI"/>
        </w:rPr>
        <w:t xml:space="preserve"> </w:t>
      </w:r>
      <w:r w:rsidR="00BD2E3F" w:rsidRPr="00733D40">
        <w:rPr>
          <w:sz w:val="24"/>
          <w:lang w:val="fi-FI"/>
        </w:rPr>
        <w:tab/>
      </w:r>
      <w:r w:rsidRPr="00733D40">
        <w:rPr>
          <w:sz w:val="24"/>
          <w:lang w:val="fi-FI"/>
        </w:rPr>
        <w:t xml:space="preserve">OJ C, C/2025/1982, 11.4.2025, ELI: </w:t>
      </w:r>
      <w:hyperlink r:id="rId1" w:history="1">
        <w:r w:rsidR="00273881" w:rsidRPr="00733D40">
          <w:rPr>
            <w:rStyle w:val="Hyperlink"/>
            <w:sz w:val="24"/>
            <w:lang w:val="fi-FI"/>
          </w:rPr>
          <w:t>http://data.europa.eu/eli/C/2025/1982/oj</w:t>
        </w:r>
      </w:hyperlink>
    </w:p>
  </w:footnote>
  <w:footnote w:id="3">
    <w:p w14:paraId="758175BB" w14:textId="6975149D" w:rsidR="007B34B4" w:rsidRPr="00BD2E3F" w:rsidRDefault="007B34B4" w:rsidP="00BD2E3F">
      <w:pPr>
        <w:pStyle w:val="FootnoteText"/>
        <w:ind w:left="567" w:hanging="567"/>
        <w:rPr>
          <w:sz w:val="24"/>
          <w:lang w:val="en-GB"/>
        </w:rPr>
      </w:pPr>
      <w:r w:rsidRPr="00BD2E3F">
        <w:rPr>
          <w:rStyle w:val="FootnoteReference"/>
          <w:sz w:val="24"/>
          <w:lang w:val="en-GB"/>
        </w:rPr>
        <w:footnoteRef/>
      </w:r>
      <w:r w:rsidR="00BD2E3F" w:rsidRPr="00BD2E3F">
        <w:rPr>
          <w:sz w:val="24"/>
          <w:lang w:val="en-GB"/>
        </w:rPr>
        <w:t xml:space="preserve"> </w:t>
      </w:r>
      <w:r w:rsidR="00BD2E3F" w:rsidRPr="00BD2E3F">
        <w:rPr>
          <w:sz w:val="24"/>
          <w:lang w:val="en-GB"/>
        </w:rPr>
        <w:tab/>
      </w:r>
      <w:r w:rsidRPr="00BD2E3F">
        <w:rPr>
          <w:sz w:val="24"/>
          <w:lang w:val="en-GB"/>
        </w:rPr>
        <w:t>Texts adopted, P10_</w:t>
      </w:r>
      <w:proofErr w:type="gramStart"/>
      <w:r w:rsidRPr="00BD2E3F">
        <w:rPr>
          <w:sz w:val="24"/>
          <w:lang w:val="en-GB"/>
        </w:rPr>
        <w:t>TA(</w:t>
      </w:r>
      <w:proofErr w:type="gramEnd"/>
      <w:r w:rsidRPr="00BD2E3F">
        <w:rPr>
          <w:sz w:val="24"/>
          <w:lang w:val="en-GB"/>
        </w:rPr>
        <w:t>2026)0064.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15990" w14:textId="77777777" w:rsidR="00064002" w:rsidRPr="00BD2E3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A615" w14:textId="77777777" w:rsidR="00064002" w:rsidRPr="00BD2E3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861E" w14:textId="77777777" w:rsidR="00064002" w:rsidRPr="00BD2E3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7871246">
    <w:abstractNumId w:val="9"/>
  </w:num>
  <w:num w:numId="2" w16cid:durableId="1746953114">
    <w:abstractNumId w:val="9"/>
  </w:num>
  <w:num w:numId="3" w16cid:durableId="1633167560">
    <w:abstractNumId w:val="7"/>
  </w:num>
  <w:num w:numId="4" w16cid:durableId="1970427812">
    <w:abstractNumId w:val="7"/>
  </w:num>
  <w:num w:numId="5" w16cid:durableId="134875787">
    <w:abstractNumId w:val="6"/>
  </w:num>
  <w:num w:numId="6" w16cid:durableId="136265256">
    <w:abstractNumId w:val="6"/>
  </w:num>
  <w:num w:numId="7" w16cid:durableId="794251648">
    <w:abstractNumId w:val="5"/>
  </w:num>
  <w:num w:numId="8" w16cid:durableId="1932616330">
    <w:abstractNumId w:val="5"/>
  </w:num>
  <w:num w:numId="9" w16cid:durableId="1576620629">
    <w:abstractNumId w:val="4"/>
  </w:num>
  <w:num w:numId="10" w16cid:durableId="152180971">
    <w:abstractNumId w:val="4"/>
  </w:num>
  <w:num w:numId="11" w16cid:durableId="451751612">
    <w:abstractNumId w:val="8"/>
  </w:num>
  <w:num w:numId="12" w16cid:durableId="902302229">
    <w:abstractNumId w:val="8"/>
  </w:num>
  <w:num w:numId="13" w16cid:durableId="1655722041">
    <w:abstractNumId w:val="3"/>
  </w:num>
  <w:num w:numId="14" w16cid:durableId="1086726720">
    <w:abstractNumId w:val="3"/>
  </w:num>
  <w:num w:numId="15" w16cid:durableId="388967050">
    <w:abstractNumId w:val="2"/>
  </w:num>
  <w:num w:numId="16" w16cid:durableId="1417439445">
    <w:abstractNumId w:val="2"/>
  </w:num>
  <w:num w:numId="17" w16cid:durableId="1506751733">
    <w:abstractNumId w:val="1"/>
  </w:num>
  <w:num w:numId="18" w16cid:durableId="98989888">
    <w:abstractNumId w:val="1"/>
  </w:num>
  <w:num w:numId="19" w16cid:durableId="20977639">
    <w:abstractNumId w:val="0"/>
  </w:num>
  <w:num w:numId="20" w16cid:durableId="1177621681">
    <w:abstractNumId w:val="0"/>
  </w:num>
  <w:num w:numId="21" w16cid:durableId="1976254126">
    <w:abstractNumId w:val="9"/>
  </w:num>
  <w:num w:numId="22" w16cid:durableId="1032919499">
    <w:abstractNumId w:val="7"/>
  </w:num>
  <w:num w:numId="23" w16cid:durableId="563103388">
    <w:abstractNumId w:val="6"/>
  </w:num>
  <w:num w:numId="24" w16cid:durableId="1353337294">
    <w:abstractNumId w:val="5"/>
  </w:num>
  <w:num w:numId="25" w16cid:durableId="1085421447">
    <w:abstractNumId w:val="4"/>
  </w:num>
  <w:num w:numId="26" w16cid:durableId="1560898278">
    <w:abstractNumId w:val="8"/>
  </w:num>
  <w:num w:numId="27" w16cid:durableId="1759055417">
    <w:abstractNumId w:val="3"/>
  </w:num>
  <w:num w:numId="28" w16cid:durableId="949240487">
    <w:abstractNumId w:val="2"/>
  </w:num>
  <w:num w:numId="29" w16cid:durableId="1429961969">
    <w:abstractNumId w:val="1"/>
  </w:num>
  <w:num w:numId="30" w16cid:durableId="802430126">
    <w:abstractNumId w:val="0"/>
  </w:num>
  <w:num w:numId="31" w16cid:durableId="661813312">
    <w:abstractNumId w:val="9"/>
  </w:num>
  <w:num w:numId="32" w16cid:durableId="1246577432">
    <w:abstractNumId w:val="7"/>
  </w:num>
  <w:num w:numId="33" w16cid:durableId="1373963422">
    <w:abstractNumId w:val="6"/>
  </w:num>
  <w:num w:numId="34" w16cid:durableId="402260952">
    <w:abstractNumId w:val="5"/>
  </w:num>
  <w:num w:numId="35" w16cid:durableId="754471887">
    <w:abstractNumId w:val="4"/>
  </w:num>
  <w:num w:numId="36" w16cid:durableId="1742752542">
    <w:abstractNumId w:val="8"/>
  </w:num>
  <w:num w:numId="37" w16cid:durableId="977417773">
    <w:abstractNumId w:val="3"/>
  </w:num>
  <w:num w:numId="38" w16cid:durableId="1914967999">
    <w:abstractNumId w:val="2"/>
  </w:num>
  <w:num w:numId="39" w16cid:durableId="1794447267">
    <w:abstractNumId w:val="1"/>
  </w:num>
  <w:num w:numId="40" w16cid:durableId="1603219376">
    <w:abstractNumId w:val="0"/>
  </w:num>
  <w:num w:numId="41" w16cid:durableId="486829160">
    <w:abstractNumId w:val="10"/>
  </w:num>
  <w:num w:numId="42" w16cid:durableId="1746804544">
    <w:abstractNumId w:val="10"/>
  </w:num>
  <w:num w:numId="43" w16cid:durableId="261455474">
    <w:abstractNumId w:val="10"/>
  </w:num>
  <w:num w:numId="44" w16cid:durableId="8568937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43/2026"/>
    <w:docVar w:name="dvlangue" w:val="EN"/>
    <w:docVar w:name="dvnumam" w:val="0"/>
    <w:docVar w:name="dvpe" w:val="783.405"/>
    <w:docVar w:name="dvtitre" w:val="European Parliament decision of 7 July 2026 amending the decision of 18 December 2024 on setting up a special committee on the Housing Crisis in the European Union to extend the special committee’s term of office and adjust its responsibilities(2026/2807(RSO))"/>
  </w:docVars>
  <w:rsids>
    <w:rsidRoot w:val="006B2625"/>
    <w:rsid w:val="00002272"/>
    <w:rsid w:val="00064002"/>
    <w:rsid w:val="000677B9"/>
    <w:rsid w:val="000831BA"/>
    <w:rsid w:val="000A42CC"/>
    <w:rsid w:val="000E7DD9"/>
    <w:rsid w:val="0010095E"/>
    <w:rsid w:val="00125B37"/>
    <w:rsid w:val="0018740E"/>
    <w:rsid w:val="00187494"/>
    <w:rsid w:val="001F32AE"/>
    <w:rsid w:val="00273881"/>
    <w:rsid w:val="002767FF"/>
    <w:rsid w:val="002B18FE"/>
    <w:rsid w:val="002B5493"/>
    <w:rsid w:val="002D323B"/>
    <w:rsid w:val="002E5C50"/>
    <w:rsid w:val="0030002E"/>
    <w:rsid w:val="00343214"/>
    <w:rsid w:val="00361C00"/>
    <w:rsid w:val="00371F64"/>
    <w:rsid w:val="00395FA1"/>
    <w:rsid w:val="003E15D4"/>
    <w:rsid w:val="004032AA"/>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B2625"/>
    <w:rsid w:val="006F74FA"/>
    <w:rsid w:val="00731ADD"/>
    <w:rsid w:val="00733D40"/>
    <w:rsid w:val="00734777"/>
    <w:rsid w:val="00747932"/>
    <w:rsid w:val="00751A4A"/>
    <w:rsid w:val="00756632"/>
    <w:rsid w:val="00762C74"/>
    <w:rsid w:val="00786EC0"/>
    <w:rsid w:val="007B34B4"/>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2E3F"/>
    <w:rsid w:val="00BD48FE"/>
    <w:rsid w:val="00BD7BD8"/>
    <w:rsid w:val="00BE6ADC"/>
    <w:rsid w:val="00C05BFE"/>
    <w:rsid w:val="00C23CD4"/>
    <w:rsid w:val="00C438BA"/>
    <w:rsid w:val="00C61C0C"/>
    <w:rsid w:val="00C941CB"/>
    <w:rsid w:val="00CB046A"/>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EA927"/>
  <w15:chartTrackingRefBased/>
  <w15:docId w15:val="{CBD35011-96D2-4BBA-AD2C-03BACBBD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B34B4"/>
    <w:pPr>
      <w:spacing w:before="480" w:after="240"/>
    </w:pPr>
  </w:style>
  <w:style w:type="paragraph" w:customStyle="1" w:styleId="NormalHanging12a">
    <w:name w:val="NormalHanging12a"/>
    <w:basedOn w:val="Normal"/>
    <w:rsid w:val="007B34B4"/>
    <w:pPr>
      <w:spacing w:after="240"/>
      <w:ind w:left="567" w:hanging="567"/>
    </w:pPr>
  </w:style>
  <w:style w:type="character" w:styleId="Hyperlink">
    <w:name w:val="Hyperlink"/>
    <w:basedOn w:val="DefaultParagraphFont"/>
    <w:rsid w:val="00273881"/>
    <w:rPr>
      <w:color w:val="0563C1" w:themeColor="hyperlink"/>
      <w:u w:val="single"/>
    </w:rPr>
  </w:style>
  <w:style w:type="character" w:styleId="UnresolvedMention">
    <w:name w:val="Unresolved Mention"/>
    <w:basedOn w:val="DefaultParagraphFont"/>
    <w:uiPriority w:val="99"/>
    <w:semiHidden/>
    <w:unhideWhenUsed/>
    <w:rsid w:val="00273881"/>
    <w:rPr>
      <w:color w:val="605E5C"/>
      <w:shd w:val="clear" w:color="auto" w:fill="E1DFDD"/>
    </w:rPr>
  </w:style>
  <w:style w:type="paragraph" w:styleId="Revision">
    <w:name w:val="Revision"/>
    <w:hidden/>
    <w:uiPriority w:val="99"/>
    <w:semiHidden/>
    <w:rsid w:val="00371F64"/>
    <w:rPr>
      <w:sz w:val="24"/>
    </w:rPr>
  </w:style>
  <w:style w:type="character" w:styleId="CommentReference">
    <w:name w:val="annotation reference"/>
    <w:basedOn w:val="DefaultParagraphFont"/>
    <w:rsid w:val="00371F64"/>
    <w:rPr>
      <w:sz w:val="16"/>
      <w:szCs w:val="16"/>
    </w:rPr>
  </w:style>
  <w:style w:type="paragraph" w:styleId="CommentText">
    <w:name w:val="annotation text"/>
    <w:basedOn w:val="Normal"/>
    <w:link w:val="CommentTextChar"/>
    <w:rsid w:val="00371F64"/>
    <w:rPr>
      <w:sz w:val="20"/>
    </w:rPr>
  </w:style>
  <w:style w:type="character" w:customStyle="1" w:styleId="CommentTextChar">
    <w:name w:val="Comment Text Char"/>
    <w:basedOn w:val="DefaultParagraphFont"/>
    <w:link w:val="CommentText"/>
    <w:rsid w:val="00371F64"/>
  </w:style>
  <w:style w:type="paragraph" w:styleId="CommentSubject">
    <w:name w:val="annotation subject"/>
    <w:basedOn w:val="CommentText"/>
    <w:next w:val="CommentText"/>
    <w:link w:val="CommentSubjectChar"/>
    <w:rsid w:val="00371F64"/>
    <w:rPr>
      <w:b/>
      <w:bCs/>
    </w:rPr>
  </w:style>
  <w:style w:type="character" w:customStyle="1" w:styleId="CommentSubjectChar">
    <w:name w:val="Comment Subject Char"/>
    <w:basedOn w:val="CommentTextChar"/>
    <w:link w:val="CommentSubject"/>
    <w:rsid w:val="00371F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19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1280</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2026-07-07T13:29:00Z</dcterms:created>
  <dcterms:modified xsi:type="dcterms:W3CDTF">2026-07-07T13:29:00Z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B10-0343/2026</vt:lpwstr>
  </property>
  <property fmtid="{D5CDD505-2E9C-101B-9397-08002B2CF9AE}" pid="4" name="&lt;Type&gt;">
    <vt:lpwstr>RR</vt:lpwstr>
  </property>
</Properties>
</file>