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6E99" w14:paraId="7DD70865" w14:textId="77777777" w:rsidTr="0010095E">
        <w:trPr>
          <w:trHeight w:hRule="exact" w:val="1418"/>
        </w:trPr>
        <w:tc>
          <w:tcPr>
            <w:tcW w:w="6804" w:type="dxa"/>
            <w:shd w:val="clear" w:color="auto" w:fill="auto"/>
            <w:vAlign w:val="center"/>
          </w:tcPr>
          <w:p w14:paraId="46E5A46D" w14:textId="77777777" w:rsidR="00751A4A" w:rsidRPr="00A66E99" w:rsidRDefault="00364F5A" w:rsidP="0010095E">
            <w:pPr>
              <w:pStyle w:val="EPName"/>
            </w:pPr>
            <w:r w:rsidRPr="00A66E99">
              <w:t>Ευρωπαϊκό Κοινοβούλιο</w:t>
            </w:r>
          </w:p>
          <w:p w14:paraId="72E1C322" w14:textId="77777777" w:rsidR="00751A4A" w:rsidRPr="00A66E99" w:rsidRDefault="005F1B17" w:rsidP="005F1B17">
            <w:pPr>
              <w:pStyle w:val="EPTerm"/>
              <w:rPr>
                <w:rStyle w:val="HideTWBExt"/>
                <w:noProof w:val="0"/>
                <w:vanish w:val="0"/>
                <w:color w:val="auto"/>
              </w:rPr>
            </w:pPr>
            <w:r w:rsidRPr="00A66E99">
              <w:t>2024</w:t>
            </w:r>
            <w:r w:rsidR="00817416" w:rsidRPr="00A66E99">
              <w:t>-202</w:t>
            </w:r>
            <w:r w:rsidRPr="00A66E99">
              <w:t>9</w:t>
            </w:r>
          </w:p>
        </w:tc>
        <w:tc>
          <w:tcPr>
            <w:tcW w:w="2268" w:type="dxa"/>
            <w:shd w:val="clear" w:color="auto" w:fill="auto"/>
          </w:tcPr>
          <w:p w14:paraId="5A07F1E0" w14:textId="77777777" w:rsidR="00751A4A" w:rsidRPr="00A66E99" w:rsidRDefault="00187494" w:rsidP="0010095E">
            <w:pPr>
              <w:pStyle w:val="EPLogo"/>
            </w:pPr>
            <w:r w:rsidRPr="00A66E99">
              <w:rPr>
                <w:noProof/>
                <w:lang w:eastAsia="ja-JP"/>
              </w:rPr>
              <w:drawing>
                <wp:inline distT="0" distB="0" distL="0" distR="0" wp14:anchorId="7BA818AB" wp14:editId="7AC758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6A0BB8" w14:textId="77777777" w:rsidR="00D058B8" w:rsidRPr="00A66E99" w:rsidRDefault="00D058B8" w:rsidP="004C5D52">
      <w:pPr>
        <w:pStyle w:val="LineTop"/>
      </w:pPr>
    </w:p>
    <w:p w14:paraId="28506398" w14:textId="77777777" w:rsidR="00680577" w:rsidRPr="00A66E99" w:rsidRDefault="00364F5A" w:rsidP="00680577">
      <w:pPr>
        <w:pStyle w:val="EPBodyTA1"/>
      </w:pPr>
      <w:r w:rsidRPr="00A66E99">
        <w:t>ΚΕΙΜΕΝΑ ΠΟΥ ΕΓΚΡΙΘΗΚΑΝ</w:t>
      </w:r>
    </w:p>
    <w:p w14:paraId="2F097837" w14:textId="77777777" w:rsidR="00D058B8" w:rsidRPr="00A66E99" w:rsidRDefault="00D058B8" w:rsidP="00D058B8">
      <w:pPr>
        <w:pStyle w:val="LineBottom"/>
      </w:pPr>
    </w:p>
    <w:p w14:paraId="1955A016" w14:textId="18563C45" w:rsidR="00364F5A" w:rsidRPr="00A66E99" w:rsidRDefault="00364F5A" w:rsidP="00364F5A">
      <w:pPr>
        <w:pStyle w:val="ATHeading1"/>
      </w:pPr>
      <w:bookmarkStart w:id="0" w:name="TANumber"/>
      <w:r w:rsidRPr="00A66E99">
        <w:t>P10_TA(2026)0</w:t>
      </w:r>
      <w:r w:rsidR="00A66E99" w:rsidRPr="00A66E99">
        <w:rPr>
          <w:lang w:val="fr-BE"/>
        </w:rPr>
        <w:t>236</w:t>
      </w:r>
      <w:bookmarkEnd w:id="0"/>
    </w:p>
    <w:p w14:paraId="04EB3820" w14:textId="77777777" w:rsidR="00364F5A" w:rsidRPr="00A66E99" w:rsidRDefault="00364F5A" w:rsidP="00364F5A">
      <w:pPr>
        <w:pStyle w:val="ATHeading2"/>
      </w:pPr>
      <w:bookmarkStart w:id="1" w:name="title"/>
      <w:r w:rsidRPr="00A66E99">
        <w:t xml:space="preserve">Αίτημα για την άρση της ασυλίας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bookmarkEnd w:id="1"/>
      <w:proofErr w:type="spellEnd"/>
    </w:p>
    <w:p w14:paraId="4ED4C5B8" w14:textId="77777777" w:rsidR="00364F5A" w:rsidRPr="00A66E99" w:rsidRDefault="00364F5A" w:rsidP="00364F5A">
      <w:pPr>
        <w:rPr>
          <w:i/>
          <w:vanish/>
        </w:rPr>
      </w:pPr>
      <w:r w:rsidRPr="00A66E99">
        <w:rPr>
          <w:i/>
        </w:rPr>
        <w:fldChar w:fldCharType="begin"/>
      </w:r>
      <w:r w:rsidRPr="00A66E99">
        <w:rPr>
          <w:i/>
        </w:rPr>
        <w:instrText xml:space="preserve"> TC"(</w:instrText>
      </w:r>
      <w:bookmarkStart w:id="2" w:name="DocNumber"/>
      <w:r w:rsidRPr="00A66E99">
        <w:rPr>
          <w:i/>
        </w:rPr>
        <w:instrText>A10-0193/2026</w:instrText>
      </w:r>
      <w:bookmarkEnd w:id="2"/>
      <w:r w:rsidRPr="00A66E99">
        <w:rPr>
          <w:i/>
        </w:rPr>
        <w:instrText xml:space="preserve"> - Εισηγητής: </w:instrText>
      </w:r>
      <w:proofErr w:type="spellStart"/>
      <w:r w:rsidRPr="00A66E99">
        <w:rPr>
          <w:i/>
        </w:rPr>
        <w:instrText>Adrián</w:instrText>
      </w:r>
      <w:proofErr w:type="spellEnd"/>
      <w:r w:rsidRPr="00A66E99">
        <w:rPr>
          <w:i/>
        </w:rPr>
        <w:instrText xml:space="preserve"> </w:instrText>
      </w:r>
      <w:proofErr w:type="spellStart"/>
      <w:r w:rsidRPr="00A66E99">
        <w:rPr>
          <w:i/>
        </w:rPr>
        <w:instrText>Vázquez</w:instrText>
      </w:r>
      <w:proofErr w:type="spellEnd"/>
      <w:r w:rsidRPr="00A66E99">
        <w:rPr>
          <w:i/>
        </w:rPr>
        <w:instrText xml:space="preserve"> </w:instrText>
      </w:r>
      <w:proofErr w:type="spellStart"/>
      <w:r w:rsidRPr="00A66E99">
        <w:rPr>
          <w:i/>
        </w:rPr>
        <w:instrText>Lázara</w:instrText>
      </w:r>
      <w:proofErr w:type="spellEnd"/>
      <w:r w:rsidRPr="00A66E99">
        <w:rPr>
          <w:i/>
        </w:rPr>
        <w:instrText xml:space="preserve">)"\l3 \n&gt; \* MERGEFORMAT </w:instrText>
      </w:r>
      <w:r w:rsidRPr="00A66E99">
        <w:rPr>
          <w:i/>
        </w:rPr>
        <w:fldChar w:fldCharType="end"/>
      </w:r>
    </w:p>
    <w:p w14:paraId="53B1F01F" w14:textId="77777777" w:rsidR="00364F5A" w:rsidRPr="00A66E99" w:rsidRDefault="00364F5A" w:rsidP="00364F5A">
      <w:pPr>
        <w:rPr>
          <w:vanish/>
        </w:rPr>
      </w:pPr>
      <w:bookmarkStart w:id="3" w:name="Commission"/>
      <w:r w:rsidRPr="00A66E99">
        <w:rPr>
          <w:vanish/>
        </w:rPr>
        <w:t>Επιτροπή Νομικών Θεμάτων</w:t>
      </w:r>
      <w:bookmarkEnd w:id="3"/>
    </w:p>
    <w:p w14:paraId="6C55ABA7" w14:textId="77777777" w:rsidR="00364F5A" w:rsidRPr="00A66E99" w:rsidRDefault="00364F5A" w:rsidP="00364F5A">
      <w:pPr>
        <w:rPr>
          <w:vanish/>
        </w:rPr>
      </w:pPr>
      <w:bookmarkStart w:id="4" w:name="PE"/>
      <w:r w:rsidRPr="00A66E99">
        <w:rPr>
          <w:vanish/>
        </w:rPr>
        <w:t>PE789.054</w:t>
      </w:r>
      <w:bookmarkEnd w:id="4"/>
    </w:p>
    <w:p w14:paraId="2DA71011" w14:textId="019D1017" w:rsidR="00364F5A" w:rsidRPr="00A66E99" w:rsidRDefault="00364F5A" w:rsidP="00364F5A">
      <w:pPr>
        <w:pStyle w:val="ATHeading3"/>
      </w:pPr>
      <w:bookmarkStart w:id="5" w:name="Sujet"/>
      <w:r w:rsidRPr="00A66E99">
        <w:t xml:space="preserve">Απόφαση του Ευρωπαϊκού Κοινοβουλίου της </w:t>
      </w:r>
      <w:r w:rsidR="00706CEF" w:rsidRPr="00A66E99">
        <w:t xml:space="preserve">7ης Ιουλίου </w:t>
      </w:r>
      <w:r w:rsidRPr="00A66E99">
        <w:t xml:space="preserve">2026 σχετικά με το αίτημα για την άρση της ασυλίας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bookmarkEnd w:id="5"/>
      <w:proofErr w:type="spellEnd"/>
      <w:r w:rsidRPr="00A66E99">
        <w:t xml:space="preserve"> </w:t>
      </w:r>
      <w:bookmarkStart w:id="6" w:name="References"/>
      <w:r w:rsidRPr="00A66E99">
        <w:t>(2026/2019(IMM))</w:t>
      </w:r>
      <w:bookmarkEnd w:id="6"/>
    </w:p>
    <w:p w14:paraId="1F32C238" w14:textId="77777777" w:rsidR="00F72528" w:rsidRPr="00A66E99" w:rsidRDefault="00F72528" w:rsidP="00F72528">
      <w:pPr>
        <w:pStyle w:val="EPComma"/>
      </w:pPr>
      <w:bookmarkStart w:id="7" w:name="TextBodyBegin"/>
      <w:bookmarkEnd w:id="7"/>
      <w:r w:rsidRPr="00A66E99">
        <w:rPr>
          <w:i/>
          <w:iCs/>
        </w:rPr>
        <w:t>Το Ευρωπαϊκό Κοινοβούλιο,</w:t>
      </w:r>
    </w:p>
    <w:p w14:paraId="795191BE" w14:textId="41EE9BB4" w:rsidR="00F72528" w:rsidRPr="00A66E99" w:rsidRDefault="00F72528" w:rsidP="00283E47">
      <w:pPr>
        <w:pStyle w:val="NormalHanging12a"/>
        <w:widowControl/>
      </w:pPr>
      <w:r w:rsidRPr="00A66E99">
        <w:t>–</w:t>
      </w:r>
      <w:r w:rsidRPr="00A66E99">
        <w:tab/>
        <w:t xml:space="preserve">έχοντας υπόψη το αίτημα για την άρση της ασυλίας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το οποίο ελήφθη με επιστολή της 15ης Ιανουαρίου 2026 που απέστειλε το γερμανικό Ομοσπονδιακό Υπουργείο Δικαιοσύνης και Προστασίας των Καταναλωτών, με την οποία διαβιβάστηκε αίτημα με ημερομηνία 2 Δεκεμβρίου 2025 από το περιφερειακό δικαστήριο της Δρέσδης, και ανακοινώθηκε στην Ολομέλεια στις 11</w:t>
      </w:r>
      <w:r w:rsidR="00283E47" w:rsidRPr="00A66E99">
        <w:t> </w:t>
      </w:r>
      <w:r w:rsidRPr="00A66E99">
        <w:t>Φεβρουαρίου 2026,</w:t>
      </w:r>
    </w:p>
    <w:p w14:paraId="49511717" w14:textId="77777777" w:rsidR="00F72528" w:rsidRPr="00A66E99" w:rsidRDefault="00F72528" w:rsidP="00283E47">
      <w:pPr>
        <w:pStyle w:val="NormalHanging12a"/>
        <w:widowControl/>
      </w:pPr>
      <w:r w:rsidRPr="00A66E99">
        <w:t>–</w:t>
      </w:r>
      <w:r w:rsidRPr="00A66E99">
        <w:tab/>
        <w:t xml:space="preserve">έχοντας υπόψη το γεγονός ότι ο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xml:space="preserve"> θεωρείται ότι παραιτήθηκε από το δικαίωμα ακρόασης σύμφωνα με το άρθρο 9 παράγραφος 6 του Κανονισμού του, </w:t>
      </w:r>
    </w:p>
    <w:p w14:paraId="46EFAAF1" w14:textId="77777777" w:rsidR="00F72528" w:rsidRPr="00A66E99" w:rsidRDefault="00F72528" w:rsidP="00283E47">
      <w:pPr>
        <w:pStyle w:val="NormalHanging12a"/>
        <w:widowControl/>
      </w:pPr>
      <w:r w:rsidRPr="00A66E99">
        <w:t>–</w:t>
      </w:r>
      <w:r w:rsidRPr="00A66E99">
        <w:tab/>
        <w:t>έχοντας υπόψη το άρθρο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737DB45E" w14:textId="77777777" w:rsidR="00F72528" w:rsidRPr="00A66E99" w:rsidRDefault="00F72528" w:rsidP="00283E47">
      <w:pPr>
        <w:pStyle w:val="NormalHanging12a"/>
        <w:widowControl/>
      </w:pPr>
      <w:r w:rsidRPr="00A66E99">
        <w:t>–</w:t>
      </w:r>
      <w:r w:rsidRPr="00A66E99">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A66E99">
        <w:rPr>
          <w:rStyle w:val="FootnoteReference"/>
        </w:rPr>
        <w:footnoteReference w:id="1"/>
      </w:r>
      <w:r w:rsidRPr="00A66E99">
        <w:t>,</w:t>
      </w:r>
    </w:p>
    <w:p w14:paraId="387D6BAA" w14:textId="77777777" w:rsidR="00F72528" w:rsidRPr="00A66E99" w:rsidRDefault="00F72528" w:rsidP="00283E47">
      <w:pPr>
        <w:pStyle w:val="NormalHanging12a"/>
        <w:widowControl/>
      </w:pPr>
      <w:r w:rsidRPr="00A66E99">
        <w:lastRenderedPageBreak/>
        <w:t>–</w:t>
      </w:r>
      <w:r w:rsidRPr="00A66E99">
        <w:tab/>
        <w:t xml:space="preserve">έχοντας υπόψη το άρθρο 46 του Θεμελιώδους Νόμου της Ομοσπονδιακής Δημοκρατίας της Γερμανίας, </w:t>
      </w:r>
    </w:p>
    <w:p w14:paraId="3E9839CA" w14:textId="77777777" w:rsidR="00F72528" w:rsidRPr="00A66E99" w:rsidRDefault="00F72528" w:rsidP="00283E47">
      <w:pPr>
        <w:pStyle w:val="NormalHanging12a"/>
        <w:widowControl/>
      </w:pPr>
      <w:r w:rsidRPr="00A66E99">
        <w:t>–</w:t>
      </w:r>
      <w:r w:rsidRPr="00A66E99">
        <w:tab/>
        <w:t>έχοντας υπόψη το άρθρο 5 παράγραφος 2, το άρθρο 6 παράγραφος 1 και το άρθρο 9 του Κανονισμού του,</w:t>
      </w:r>
    </w:p>
    <w:p w14:paraId="70EDDCD6" w14:textId="77777777" w:rsidR="00F72528" w:rsidRPr="00A66E99" w:rsidRDefault="00F72528" w:rsidP="00283E47">
      <w:pPr>
        <w:pStyle w:val="NormalHanging12a"/>
        <w:widowControl/>
      </w:pPr>
      <w:r w:rsidRPr="00A66E99">
        <w:t>–</w:t>
      </w:r>
      <w:r w:rsidRPr="00A66E99">
        <w:tab/>
        <w:t>έχοντας υπόψη την έκθεση της Επιτροπής Νομικών Θεμάτων (A10-0193/2026),</w:t>
      </w:r>
    </w:p>
    <w:p w14:paraId="703DF181" w14:textId="0099C240" w:rsidR="00F72528" w:rsidRPr="00A66E99" w:rsidRDefault="00F72528" w:rsidP="00283E47">
      <w:pPr>
        <w:pStyle w:val="NormalHanging12a"/>
        <w:widowControl/>
      </w:pPr>
      <w:r w:rsidRPr="00A66E99">
        <w:t>Α.</w:t>
      </w:r>
      <w:r w:rsidRPr="00A66E99">
        <w:tab/>
        <w:t xml:space="preserve">λαμβάνοντας υπόψη ότι, στις 15 Ιανουαρίου 2026, το γερμανικό Ομοσπονδιακό Υπουργείο Δικαιοσύνης και Προστασίας των Καταναλωτών διαβίβασε αίτημα του περιφερειακού δικαστηρίου της Δρέσδης για την άρση της ασυλίας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βουλευτή του Ευρωπαϊκού Κοινοβουλίου που εξελέγη στη Γερμανία, σε σχέση με ένδικο μέσο που άσκησε στο πλαίσιο ποινικής διαδικασίας·</w:t>
      </w:r>
    </w:p>
    <w:p w14:paraId="1366D422" w14:textId="77777777" w:rsidR="00F72528" w:rsidRPr="00A66E99" w:rsidRDefault="00F72528" w:rsidP="00283E47">
      <w:pPr>
        <w:pStyle w:val="NormalHanging12a"/>
        <w:widowControl/>
      </w:pPr>
      <w:r w:rsidRPr="00A66E99">
        <w:t>Β.</w:t>
      </w:r>
      <w:r w:rsidRPr="00A66E99">
        <w:tab/>
        <w:t xml:space="preserve">λαμβάνοντας υπόψη ότι, με απόφαση του πρωτοβάθμιου δικαστηρίου της Δρέσδης της 26ης Απριλίου 2024, ο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xml:space="preserve"> καταδικάστηκε για δύο διαφορετικά περιστατικά προσβολής και του επιβλήθηκε χρηματική ποινή· λαμβάνοντας υπόψη ότι ο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xml:space="preserve"> άσκησε έφεση κατά της εν λόγω απόφασης με γραπτό υπόμνημα του συνηγόρου υπεράσπισής του στις 3 Μαΐου 2024· </w:t>
      </w:r>
    </w:p>
    <w:p w14:paraId="6AE4CFFA" w14:textId="25BDBC30" w:rsidR="00F72528" w:rsidRPr="00A66E99" w:rsidRDefault="00F72528" w:rsidP="00283E47">
      <w:pPr>
        <w:pStyle w:val="NormalHanging12a"/>
        <w:widowControl/>
      </w:pPr>
      <w:r w:rsidRPr="00A66E99">
        <w:t>Γ.</w:t>
      </w:r>
      <w:r w:rsidRPr="00A66E99">
        <w:tab/>
        <w:t xml:space="preserve">λαμβάνοντας υπόψη ότι ο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xml:space="preserve"> εξελέγη βουλευτής του Ευρωπαϊκού Κοινοβουλίου στις ευρωπαϊκές εκλογές του Ιουνίου </w:t>
      </w:r>
      <w:r w:rsidR="00706CEF" w:rsidRPr="00A66E99">
        <w:t xml:space="preserve">του </w:t>
      </w:r>
      <w:r w:rsidRPr="00A66E99">
        <w:t>2024· λαμβάνοντας υπόψη ότι δεν ήταν βουλευτής του Ευρωπαϊκού Κοινοβουλίου κατά την έκδοση της καταδικαστικής απόφασης του πρωτοβάθμιου δικαστηρίου της Δρέσδης, της 26ης</w:t>
      </w:r>
      <w:r w:rsidR="00706CEF" w:rsidRPr="00A66E99">
        <w:t> </w:t>
      </w:r>
      <w:r w:rsidRPr="00A66E99">
        <w:t xml:space="preserve">Απριλίου 2024, ούτε όταν ασκήθηκε έφεση εναντίον της εν λόγω απόφασης· λαμβάνοντας υπόψη ότι, σε συνέχεια της εκλογής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xml:space="preserve"> στο Ευρωπαϊκό Κοινοβούλιο και σύμφωνα με το αίτημα</w:t>
      </w:r>
      <w:r w:rsidR="00706CEF" w:rsidRPr="00A66E99">
        <w:t xml:space="preserve"> του περιφερειακού δικαστηρίου της Δρέσδης</w:t>
      </w:r>
      <w:r w:rsidRPr="00A66E99">
        <w:t xml:space="preserve">, η διεξαγωγή της διαδικασίας έφεσης απαιτεί την άρση της ασυλίας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w:t>
      </w:r>
    </w:p>
    <w:p w14:paraId="670B896D" w14:textId="5A45A681" w:rsidR="00F72528" w:rsidRPr="00A66E99" w:rsidRDefault="00F72528" w:rsidP="00283E47">
      <w:pPr>
        <w:pStyle w:val="NormalHanging12a"/>
        <w:widowControl/>
      </w:pPr>
      <w:bookmarkStart w:id="8" w:name="_Hlk232522246"/>
      <w:r w:rsidRPr="00A66E99">
        <w:t>Δ.</w:t>
      </w:r>
      <w:r w:rsidRPr="00A66E99">
        <w:tab/>
        <w:t xml:space="preserve">λαμβάνοντας υπόψη ότι τα πραγματικά περιστατικά που στοιχειοθετούν τις </w:t>
      </w:r>
      <w:r w:rsidR="00483CFF" w:rsidRPr="00A66E99">
        <w:t>φερ</w:t>
      </w:r>
      <w:r w:rsidRPr="00A66E99">
        <w:t>όμενες</w:t>
      </w:r>
      <w:r w:rsidR="00483CFF" w:rsidRPr="00A66E99">
        <w:t xml:space="preserve"> ως διαπραχθείσες</w:t>
      </w:r>
      <w:r w:rsidRPr="00A66E99">
        <w:t xml:space="preserve"> αξιόποινες πράξεις έλαβαν χώρα προτού ο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 xml:space="preserve"> γίνει βουλευτής του Ευρωπαϊκού Κοινοβουλίου και, ως εκ τούτου, ούτε αυτά ούτε το επακόλουθο αίτημα για την άρση της ασυλίας του συνδέονται με γνώμη</w:t>
      </w:r>
      <w:r w:rsidR="00483CFF" w:rsidRPr="00A66E99">
        <w:t xml:space="preserve"> εκφρασθείσα</w:t>
      </w:r>
      <w:r w:rsidRPr="00A66E99">
        <w:t xml:space="preserve"> ή ψήφο</w:t>
      </w:r>
      <w:r w:rsidR="00483CFF" w:rsidRPr="00A66E99">
        <w:t xml:space="preserve"> δοθείσα</w:t>
      </w:r>
      <w:r w:rsidRPr="00A66E99">
        <w:t xml:space="preserve"> από αυτόν κατά την άσκηση των καθηκόντων του υπό την έννοια του άρθρου 8 του </w:t>
      </w:r>
      <w:r w:rsidR="005454C1" w:rsidRPr="00A66E99">
        <w:t xml:space="preserve">Πρωτοκόλλου </w:t>
      </w:r>
      <w:r w:rsidRPr="00A66E99">
        <w:t>αριθ. 7 περί των προνομίων και ασυλιών της Ευρωπαϊκής Ένωσης·</w:t>
      </w:r>
    </w:p>
    <w:bookmarkEnd w:id="8"/>
    <w:p w14:paraId="40A4121C" w14:textId="77777777" w:rsidR="00F72528" w:rsidRPr="00A66E99" w:rsidRDefault="00F72528" w:rsidP="00283E47">
      <w:pPr>
        <w:pStyle w:val="NormalHanging12a"/>
        <w:widowControl/>
      </w:pPr>
      <w:r w:rsidRPr="00A66E99">
        <w:t>Ε.</w:t>
      </w:r>
      <w:r w:rsidRPr="00A66E99">
        <w:tab/>
        <w:t>λαμβάνοντας υπόψη ότι το άρθρο 9 παράγραφος 1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οικείων κρατών μελών, των ασυλιών που αναγνωρίζονται στα μέλη του Κοινοβουλίου του κράτους μέλους τους·</w:t>
      </w:r>
    </w:p>
    <w:p w14:paraId="71578B25" w14:textId="77777777" w:rsidR="00F72528" w:rsidRPr="00A66E99" w:rsidRDefault="00F72528" w:rsidP="00283E47">
      <w:pPr>
        <w:pStyle w:val="NormalHanging12a"/>
        <w:widowControl/>
      </w:pPr>
      <w:r w:rsidRPr="00A66E99">
        <w:t>ΣΤ.</w:t>
      </w:r>
      <w:r w:rsidRPr="00A66E99">
        <w:tab/>
        <w:t>λαμβάνοντας υπόψη ότι το άρθρο 46 παράγραφοι 2, 3 και 4 του Θεμελιώδους Νόμου της Ομοσπονδιακής Δημοκρατίας της Γερμανίας ορίζει τα εξής:</w:t>
      </w:r>
    </w:p>
    <w:p w14:paraId="4681F584" w14:textId="77777777" w:rsidR="00F72528" w:rsidRPr="00A66E99" w:rsidRDefault="00F72528" w:rsidP="00283E47">
      <w:pPr>
        <w:pStyle w:val="NormalHanging12a"/>
        <w:widowControl/>
        <w:ind w:left="1134"/>
      </w:pPr>
      <w:r w:rsidRPr="00A66E99">
        <w:t>«2)</w:t>
      </w:r>
      <w:r w:rsidRPr="00A66E99">
        <w:tab/>
        <w:t>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w:t>
      </w:r>
    </w:p>
    <w:p w14:paraId="02B4922A" w14:textId="77777777" w:rsidR="00F72528" w:rsidRPr="00A66E99" w:rsidRDefault="00F72528" w:rsidP="00283E47">
      <w:pPr>
        <w:pStyle w:val="NormalHanging12a"/>
        <w:widowControl/>
        <w:ind w:left="1134"/>
      </w:pPr>
      <w:r w:rsidRPr="00A66E99">
        <w:lastRenderedPageBreak/>
        <w:t>3)</w:t>
      </w:r>
      <w:r w:rsidRPr="00A66E99">
        <w:tab/>
        <w:t>Άδεια της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14:paraId="6457F420" w14:textId="77777777" w:rsidR="00F72528" w:rsidRPr="00A66E99" w:rsidRDefault="00F72528" w:rsidP="00283E47">
      <w:pPr>
        <w:pStyle w:val="NormalHanging12a"/>
        <w:widowControl/>
        <w:ind w:left="1134"/>
      </w:pPr>
      <w:r w:rsidRPr="00A66E99">
        <w:t>4)</w:t>
      </w:r>
      <w:r w:rsidRPr="00A66E99">
        <w:tab/>
        <w:t>Κάθε ποινική δίωξη και κάθε διαδικασία του άρθρου 18 εναντίον βουλευτή, κάθε κράτηση και κάθε άλλος περιορισμός της προσωπικής του ελευθερίας αναστέλλονται, εφόσον το ζητήσει η Ομοσπονδιακή Βουλή.»·</w:t>
      </w:r>
    </w:p>
    <w:p w14:paraId="1D3D698A" w14:textId="6DF5BFA7" w:rsidR="00F72528" w:rsidRPr="00A66E99" w:rsidRDefault="00F72528" w:rsidP="00283E47">
      <w:pPr>
        <w:pStyle w:val="NormalHanging12a"/>
        <w:widowControl/>
      </w:pPr>
      <w:r w:rsidRPr="00A66E99">
        <w:t>Ζ.</w:t>
      </w:r>
      <w:r w:rsidRPr="00A66E99">
        <w:tab/>
      </w:r>
      <w:bookmarkStart w:id="9" w:name="_Hlk210920707"/>
      <w:r w:rsidRPr="00A66E99">
        <w:t>λαμβάνοντας υπόψη ότι σκοπός της ασυλίας που προβλέπεται στο Πρωτόκολλο αριθ. 7 περί των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bookmarkEnd w:id="9"/>
    </w:p>
    <w:p w14:paraId="58068B8D" w14:textId="77777777" w:rsidR="00F72528" w:rsidRPr="00A66E99" w:rsidRDefault="00F72528" w:rsidP="00283E47">
      <w:pPr>
        <w:pStyle w:val="NormalHanging12a"/>
        <w:widowControl/>
      </w:pPr>
      <w:r w:rsidRPr="00A66E99">
        <w:t>Η.</w:t>
      </w:r>
      <w:r w:rsidRPr="00A66E99">
        <w:tab/>
        <w:t xml:space="preserve">λαμβάνοντας υπόψη ότι, σύμφωνα με το άρθρο 5 παράγραφος 2 του Κανονισμού, η βουλευτική ασυλία δεν αποτελεί προσωπικό προνόμιο των βουλευτών, αλλά εγγύηση της ανεξαρτησίας του Κοινοβουλίου στο σύνολό του και των βουλευτών του· </w:t>
      </w:r>
    </w:p>
    <w:p w14:paraId="0E2497D0" w14:textId="53FEC8A7" w:rsidR="00F72528" w:rsidRPr="00A66E99" w:rsidRDefault="00F72528" w:rsidP="00283E47">
      <w:pPr>
        <w:pStyle w:val="NormalHanging12a"/>
        <w:widowControl/>
      </w:pPr>
      <w:r w:rsidRPr="00A66E99">
        <w:t>Θ.</w:t>
      </w:r>
      <w:r w:rsidRPr="00A66E99">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483CFF" w:rsidRPr="00A66E99">
        <w:t xml:space="preserve">ως </w:t>
      </w:r>
      <w:r w:rsidRPr="00A66E99">
        <w:t>κατηγορούμενος</w:t>
      </w:r>
      <w:r w:rsidRPr="00A66E99">
        <w:rPr>
          <w:rStyle w:val="FootnoteReference"/>
        </w:rPr>
        <w:footnoteReference w:id="2"/>
      </w:r>
      <w:r w:rsidRPr="00A66E99">
        <w:t>·</w:t>
      </w:r>
    </w:p>
    <w:p w14:paraId="2CE0B625" w14:textId="77777777" w:rsidR="00F72528" w:rsidRPr="00A66E99" w:rsidRDefault="00F72528" w:rsidP="00283E47">
      <w:pPr>
        <w:pStyle w:val="NormalHanging12a"/>
        <w:widowControl/>
      </w:pPr>
      <w:r w:rsidRPr="00A66E99">
        <w:t>Ι.</w:t>
      </w:r>
      <w:r w:rsidRPr="00A66E99">
        <w:tab/>
        <w:t xml:space="preserve">λαμβάνοντας υπόψη ότι φαίνεται ότι, στην προκειμένη περίπτωση, δεν μπορεί να συναχθεί ότι υφίσταται </w:t>
      </w:r>
      <w:proofErr w:type="spellStart"/>
      <w:r w:rsidRPr="00A66E99">
        <w:t>fumus</w:t>
      </w:r>
      <w:proofErr w:type="spellEnd"/>
      <w:r w:rsidRPr="00A66E99">
        <w:t xml:space="preserve"> </w:t>
      </w:r>
      <w:proofErr w:type="spellStart"/>
      <w:r w:rsidRPr="00A66E99">
        <w:t>persecutionis</w:t>
      </w:r>
      <w:proofErr w:type="spellEnd"/>
      <w:r w:rsidRPr="00A66E99">
        <w:t>, δηλαδή ότι σκοπός της δικαστικής διαδικασίας είναι να βλάψει την πολιτική δραστηριότητα του βουλευτή υπό την ιδιότητά του ως βουλευτή του Ευρωπαϊκού Κοινοβουλίου και, ως εκ τούτου, την ανεξαρτησία του Κοινοβουλίου·</w:t>
      </w:r>
    </w:p>
    <w:p w14:paraId="43B86A08" w14:textId="77777777" w:rsidR="00F72528" w:rsidRPr="00A66E99" w:rsidRDefault="00F72528" w:rsidP="00283E47">
      <w:pPr>
        <w:pStyle w:val="NormalHanging12a"/>
        <w:widowControl/>
      </w:pPr>
      <w:r w:rsidRPr="00A66E99">
        <w:t>1.</w:t>
      </w:r>
      <w:r w:rsidRPr="00A66E99">
        <w:tab/>
        <w:t xml:space="preserve">αποφασίζει να άρει την ασυλία του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w:t>
      </w:r>
    </w:p>
    <w:p w14:paraId="3B15061A" w14:textId="38D1A678" w:rsidR="00E365E1" w:rsidRPr="00A66E99" w:rsidRDefault="00F72528" w:rsidP="00283E47">
      <w:pPr>
        <w:widowControl/>
        <w:spacing w:after="240"/>
        <w:ind w:left="567" w:hanging="567"/>
      </w:pPr>
      <w:r w:rsidRPr="00A66E99">
        <w:t>2.</w:t>
      </w:r>
      <w:r w:rsidRPr="00A66E99">
        <w:tab/>
        <w:t xml:space="preserve">αναθέτει στην Πρόεδρό του να διαβιβάσει αμελλητί την παρούσα απόφαση και την έκθεση της αρμόδιας επιτροπής του στην αρμόδια αρχή της Ομοσπονδιακής Δημοκρατίας της Γερμανίας και στον </w:t>
      </w:r>
      <w:proofErr w:type="spellStart"/>
      <w:r w:rsidRPr="00A66E99">
        <w:t>Siegbert</w:t>
      </w:r>
      <w:proofErr w:type="spellEnd"/>
      <w:r w:rsidRPr="00A66E99">
        <w:t xml:space="preserve"> </w:t>
      </w:r>
      <w:proofErr w:type="spellStart"/>
      <w:r w:rsidRPr="00A66E99">
        <w:t>Frank</w:t>
      </w:r>
      <w:proofErr w:type="spellEnd"/>
      <w:r w:rsidRPr="00A66E99">
        <w:t xml:space="preserve"> </w:t>
      </w:r>
      <w:proofErr w:type="spellStart"/>
      <w:r w:rsidRPr="00A66E99">
        <w:t>Droese</w:t>
      </w:r>
      <w:proofErr w:type="spellEnd"/>
      <w:r w:rsidRPr="00A66E99">
        <w:t>.</w:t>
      </w:r>
    </w:p>
    <w:sectPr w:rsidR="00E365E1" w:rsidRPr="00A66E99" w:rsidSect="00D62B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068F" w14:textId="77777777" w:rsidR="00364F5A" w:rsidRPr="00D62B17" w:rsidRDefault="00364F5A">
      <w:r w:rsidRPr="00D62B17">
        <w:separator/>
      </w:r>
    </w:p>
  </w:endnote>
  <w:endnote w:type="continuationSeparator" w:id="0">
    <w:p w14:paraId="49BD4838" w14:textId="77777777" w:rsidR="00364F5A" w:rsidRPr="00D62B17" w:rsidRDefault="00364F5A">
      <w:r w:rsidRPr="00D62B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8EAD" w14:textId="77777777" w:rsidR="00064002" w:rsidRPr="00D62B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964D" w14:textId="77777777" w:rsidR="00064002" w:rsidRPr="00D62B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F412" w14:textId="77777777" w:rsidR="00064002" w:rsidRPr="00D62B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0CFC" w14:textId="77777777" w:rsidR="00364F5A" w:rsidRPr="00D62B17" w:rsidRDefault="00364F5A">
      <w:r w:rsidRPr="00D62B17">
        <w:separator/>
      </w:r>
    </w:p>
  </w:footnote>
  <w:footnote w:type="continuationSeparator" w:id="0">
    <w:p w14:paraId="7F0F89B3" w14:textId="77777777" w:rsidR="00364F5A" w:rsidRPr="00D62B17" w:rsidRDefault="00364F5A">
      <w:r w:rsidRPr="00D62B17">
        <w:continuationSeparator/>
      </w:r>
    </w:p>
  </w:footnote>
  <w:footnote w:id="1">
    <w:p w14:paraId="6AA66340" w14:textId="70648715" w:rsidR="00F72528" w:rsidRPr="00D62B17" w:rsidRDefault="00F72528" w:rsidP="00283E47">
      <w:pPr>
        <w:pStyle w:val="FootnoteText"/>
        <w:spacing w:line="240" w:lineRule="auto"/>
        <w:ind w:left="567" w:hanging="567"/>
        <w:rPr>
          <w:sz w:val="24"/>
          <w:lang w:val="el-GR"/>
        </w:rPr>
      </w:pPr>
      <w:r w:rsidRPr="00D62B17">
        <w:rPr>
          <w:rStyle w:val="FootnoteReference"/>
          <w:sz w:val="24"/>
          <w:lang w:val="el-GR"/>
        </w:rPr>
        <w:footnoteRef/>
      </w:r>
      <w:r w:rsidR="00D62B17" w:rsidRPr="00D62B17">
        <w:rPr>
          <w:sz w:val="24"/>
          <w:lang w:val="el-GR"/>
        </w:rPr>
        <w:t xml:space="preserve"> </w:t>
      </w:r>
      <w:r w:rsidR="00D62B17" w:rsidRPr="00D62B17">
        <w:rPr>
          <w:sz w:val="24"/>
          <w:lang w:val="el-GR"/>
        </w:rPr>
        <w:tab/>
      </w:r>
      <w:r w:rsidRPr="00D62B17">
        <w:rPr>
          <w:sz w:val="24"/>
          <w:lang w:val="el-GR"/>
        </w:rPr>
        <w:t xml:space="preserve">Απόφαση του Δικαστηρίου της 21ης Οκτωβρίου 2008, </w:t>
      </w:r>
      <w:proofErr w:type="spellStart"/>
      <w:r w:rsidRPr="00D62B17">
        <w:rPr>
          <w:sz w:val="24"/>
          <w:lang w:val="el-GR"/>
        </w:rPr>
        <w:t>Marra</w:t>
      </w:r>
      <w:proofErr w:type="spellEnd"/>
      <w:r w:rsidRPr="00D62B17">
        <w:rPr>
          <w:sz w:val="24"/>
          <w:lang w:val="el-GR"/>
        </w:rPr>
        <w:t xml:space="preserve"> κατά De </w:t>
      </w:r>
      <w:proofErr w:type="spellStart"/>
      <w:r w:rsidRPr="00D62B17">
        <w:rPr>
          <w:sz w:val="24"/>
          <w:lang w:val="el-GR"/>
        </w:rPr>
        <w:t>Gregorio</w:t>
      </w:r>
      <w:proofErr w:type="spellEnd"/>
      <w:r w:rsidRPr="00D62B17">
        <w:rPr>
          <w:sz w:val="24"/>
          <w:lang w:val="el-GR"/>
        </w:rPr>
        <w:t xml:space="preserve"> και </w:t>
      </w:r>
      <w:proofErr w:type="spellStart"/>
      <w:r w:rsidRPr="00D62B17">
        <w:rPr>
          <w:sz w:val="24"/>
          <w:lang w:val="el-GR"/>
        </w:rPr>
        <w:t>Clemente</w:t>
      </w:r>
      <w:proofErr w:type="spellEnd"/>
      <w:r w:rsidRPr="00D62B17">
        <w:rPr>
          <w:sz w:val="24"/>
          <w:lang w:val="el-GR"/>
        </w:rPr>
        <w:t xml:space="preserve">, C-200/07 και C-201/07, ECLI:EU:C:2008:579· απόφαση του Γενικού Δικαστηρίου της 19ης Μαρτίου 2010, </w:t>
      </w:r>
      <w:proofErr w:type="spellStart"/>
      <w:r w:rsidRPr="00D62B17">
        <w:rPr>
          <w:sz w:val="24"/>
          <w:lang w:val="el-GR"/>
        </w:rPr>
        <w:t>Gollnisch</w:t>
      </w:r>
      <w:proofErr w:type="spellEnd"/>
      <w:r w:rsidRPr="00D62B17">
        <w:rPr>
          <w:sz w:val="24"/>
          <w:lang w:val="el-GR"/>
        </w:rPr>
        <w:t xml:space="preserve"> κατά Κοινοβουλίου, T-42/06, ECLI:EU:T:2010:102· απόφαση του Δικαστηρίου της 6ης Σεπτεμβρίου 2011, </w:t>
      </w:r>
      <w:proofErr w:type="spellStart"/>
      <w:r w:rsidRPr="00D62B17">
        <w:rPr>
          <w:sz w:val="24"/>
          <w:lang w:val="el-GR"/>
        </w:rPr>
        <w:t>Patriciello</w:t>
      </w:r>
      <w:proofErr w:type="spellEnd"/>
      <w:r w:rsidRPr="00D62B17">
        <w:rPr>
          <w:sz w:val="24"/>
          <w:lang w:val="el-GR"/>
        </w:rPr>
        <w:t xml:space="preserve">, C-163/10, ECLI:EU:C:2011:543· απόφαση του Γενικού Δικαστηρίου της 17ης Ιανουαρίου 2013, </w:t>
      </w:r>
      <w:proofErr w:type="spellStart"/>
      <w:r w:rsidRPr="00D62B17">
        <w:rPr>
          <w:sz w:val="24"/>
          <w:lang w:val="el-GR"/>
        </w:rPr>
        <w:t>Gollnisch</w:t>
      </w:r>
      <w:proofErr w:type="spellEnd"/>
      <w:r w:rsidRPr="00D62B17">
        <w:rPr>
          <w:sz w:val="24"/>
          <w:lang w:val="el-GR"/>
        </w:rPr>
        <w:t xml:space="preserve"> κατά Κοινοβουλίου, T-346/11 και T-347/11, ECLI:EU:T:2013:23· απόφαση του Δικαστηρίου της 19ης Δεκεμβρίου 2019, </w:t>
      </w:r>
      <w:proofErr w:type="spellStart"/>
      <w:r w:rsidRPr="00D62B17">
        <w:rPr>
          <w:sz w:val="24"/>
          <w:lang w:val="el-GR"/>
        </w:rPr>
        <w:t>Junqueras</w:t>
      </w:r>
      <w:proofErr w:type="spellEnd"/>
      <w:r w:rsidRPr="00D62B17">
        <w:rPr>
          <w:sz w:val="24"/>
          <w:lang w:val="el-GR"/>
        </w:rPr>
        <w:t xml:space="preserve"> </w:t>
      </w:r>
      <w:proofErr w:type="spellStart"/>
      <w:r w:rsidRPr="00D62B17">
        <w:rPr>
          <w:sz w:val="24"/>
          <w:lang w:val="el-GR"/>
        </w:rPr>
        <w:t>Vies</w:t>
      </w:r>
      <w:proofErr w:type="spellEnd"/>
      <w:r w:rsidRPr="00D62B17">
        <w:rPr>
          <w:sz w:val="24"/>
          <w:lang w:val="el-GR"/>
        </w:rPr>
        <w:t>, C-502/19, ECLI:EU:C:2019:1115.</w:t>
      </w:r>
    </w:p>
  </w:footnote>
  <w:footnote w:id="2">
    <w:p w14:paraId="0C3A77AD" w14:textId="1D658C0B" w:rsidR="00F72528" w:rsidRPr="00D62B17" w:rsidRDefault="00F72528" w:rsidP="00283E47">
      <w:pPr>
        <w:pStyle w:val="FootnoteText"/>
        <w:spacing w:line="240" w:lineRule="auto"/>
        <w:ind w:left="567" w:hanging="567"/>
        <w:rPr>
          <w:sz w:val="24"/>
          <w:lang w:val="el-GR"/>
        </w:rPr>
      </w:pPr>
      <w:r w:rsidRPr="00D62B17">
        <w:rPr>
          <w:rStyle w:val="FootnoteReference"/>
          <w:sz w:val="24"/>
          <w:lang w:val="el-GR"/>
        </w:rPr>
        <w:footnoteRef/>
      </w:r>
      <w:r w:rsidR="00D62B17" w:rsidRPr="00D62B17">
        <w:rPr>
          <w:sz w:val="24"/>
          <w:lang w:val="el-GR"/>
        </w:rPr>
        <w:t xml:space="preserve"> </w:t>
      </w:r>
      <w:r w:rsidR="00D62B17" w:rsidRPr="00D62B17">
        <w:rPr>
          <w:sz w:val="24"/>
          <w:lang w:val="el-GR"/>
        </w:rPr>
        <w:tab/>
      </w:r>
      <w:r w:rsidRPr="00D62B17">
        <w:rPr>
          <w:sz w:val="24"/>
          <w:lang w:val="el-GR"/>
        </w:rPr>
        <w:t xml:space="preserve">Απόφαση του Γενικού Δικαστηρίου της 30ής Απριλίου 2019, </w:t>
      </w:r>
      <w:proofErr w:type="spellStart"/>
      <w:r w:rsidRPr="00D62B17">
        <w:rPr>
          <w:sz w:val="24"/>
          <w:lang w:val="el-GR"/>
        </w:rPr>
        <w:t>Briois</w:t>
      </w:r>
      <w:proofErr w:type="spellEnd"/>
      <w:r w:rsidRPr="00D62B17">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2F32" w14:textId="77777777" w:rsidR="00064002" w:rsidRPr="00D62B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8DA8" w14:textId="77777777" w:rsidR="00064002" w:rsidRPr="00D62B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068" w14:textId="77777777" w:rsidR="00064002" w:rsidRPr="00D62B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8875985">
    <w:abstractNumId w:val="9"/>
  </w:num>
  <w:num w:numId="2" w16cid:durableId="1720325122">
    <w:abstractNumId w:val="9"/>
  </w:num>
  <w:num w:numId="3" w16cid:durableId="1695302488">
    <w:abstractNumId w:val="7"/>
  </w:num>
  <w:num w:numId="4" w16cid:durableId="2091154111">
    <w:abstractNumId w:val="7"/>
  </w:num>
  <w:num w:numId="5" w16cid:durableId="1236940433">
    <w:abstractNumId w:val="6"/>
  </w:num>
  <w:num w:numId="6" w16cid:durableId="313605392">
    <w:abstractNumId w:val="6"/>
  </w:num>
  <w:num w:numId="7" w16cid:durableId="506217915">
    <w:abstractNumId w:val="5"/>
  </w:num>
  <w:num w:numId="8" w16cid:durableId="651831222">
    <w:abstractNumId w:val="5"/>
  </w:num>
  <w:num w:numId="9" w16cid:durableId="1421828853">
    <w:abstractNumId w:val="4"/>
  </w:num>
  <w:num w:numId="10" w16cid:durableId="1142818992">
    <w:abstractNumId w:val="4"/>
  </w:num>
  <w:num w:numId="11" w16cid:durableId="2014063672">
    <w:abstractNumId w:val="8"/>
  </w:num>
  <w:num w:numId="12" w16cid:durableId="1391418971">
    <w:abstractNumId w:val="8"/>
  </w:num>
  <w:num w:numId="13" w16cid:durableId="2027438493">
    <w:abstractNumId w:val="3"/>
  </w:num>
  <w:num w:numId="14" w16cid:durableId="1618176960">
    <w:abstractNumId w:val="3"/>
  </w:num>
  <w:num w:numId="15" w16cid:durableId="481508536">
    <w:abstractNumId w:val="2"/>
  </w:num>
  <w:num w:numId="16" w16cid:durableId="1972053904">
    <w:abstractNumId w:val="2"/>
  </w:num>
  <w:num w:numId="17" w16cid:durableId="1539198185">
    <w:abstractNumId w:val="1"/>
  </w:num>
  <w:num w:numId="18" w16cid:durableId="1439834848">
    <w:abstractNumId w:val="1"/>
  </w:num>
  <w:num w:numId="19" w16cid:durableId="1412578465">
    <w:abstractNumId w:val="0"/>
  </w:num>
  <w:num w:numId="20" w16cid:durableId="1700550459">
    <w:abstractNumId w:val="0"/>
  </w:num>
  <w:num w:numId="21" w16cid:durableId="2029216558">
    <w:abstractNumId w:val="9"/>
  </w:num>
  <w:num w:numId="22" w16cid:durableId="265507948">
    <w:abstractNumId w:val="7"/>
  </w:num>
  <w:num w:numId="23" w16cid:durableId="541331821">
    <w:abstractNumId w:val="6"/>
  </w:num>
  <w:num w:numId="24" w16cid:durableId="347410333">
    <w:abstractNumId w:val="5"/>
  </w:num>
  <w:num w:numId="25" w16cid:durableId="821122205">
    <w:abstractNumId w:val="4"/>
  </w:num>
  <w:num w:numId="26" w16cid:durableId="233971974">
    <w:abstractNumId w:val="8"/>
  </w:num>
  <w:num w:numId="27" w16cid:durableId="767655799">
    <w:abstractNumId w:val="3"/>
  </w:num>
  <w:num w:numId="28" w16cid:durableId="1644238897">
    <w:abstractNumId w:val="2"/>
  </w:num>
  <w:num w:numId="29" w16cid:durableId="381560766">
    <w:abstractNumId w:val="1"/>
  </w:num>
  <w:num w:numId="30" w16cid:durableId="1080180055">
    <w:abstractNumId w:val="0"/>
  </w:num>
  <w:num w:numId="31" w16cid:durableId="2105419022">
    <w:abstractNumId w:val="9"/>
  </w:num>
  <w:num w:numId="32" w16cid:durableId="2047296326">
    <w:abstractNumId w:val="7"/>
  </w:num>
  <w:num w:numId="33" w16cid:durableId="576209684">
    <w:abstractNumId w:val="6"/>
  </w:num>
  <w:num w:numId="34" w16cid:durableId="471944411">
    <w:abstractNumId w:val="5"/>
  </w:num>
  <w:num w:numId="35" w16cid:durableId="1674137368">
    <w:abstractNumId w:val="4"/>
  </w:num>
  <w:num w:numId="36" w16cid:durableId="1537961959">
    <w:abstractNumId w:val="8"/>
  </w:num>
  <w:num w:numId="37" w16cid:durableId="1731809524">
    <w:abstractNumId w:val="3"/>
  </w:num>
  <w:num w:numId="38" w16cid:durableId="406810262">
    <w:abstractNumId w:val="2"/>
  </w:num>
  <w:num w:numId="39" w16cid:durableId="1174568013">
    <w:abstractNumId w:val="1"/>
  </w:num>
  <w:num w:numId="40" w16cid:durableId="1955091400">
    <w:abstractNumId w:val="0"/>
  </w:num>
  <w:num w:numId="41" w16cid:durableId="1488283058">
    <w:abstractNumId w:val="10"/>
  </w:num>
  <w:num w:numId="42" w16cid:durableId="778253791">
    <w:abstractNumId w:val="10"/>
  </w:num>
  <w:num w:numId="43" w16cid:durableId="379943109">
    <w:abstractNumId w:val="10"/>
  </w:num>
  <w:num w:numId="44" w16cid:durableId="1812136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EL"/>
    <w:docVar w:name="dvnumam" w:val="0"/>
    <w:docVar w:name="dvpe" w:val="789.054"/>
    <w:docVar w:name="dvrapporteur" w:val="Εισηγητής: "/>
    <w:docVar w:name="dvtitre" w:val="Απόφαση του Ευρωπαϊκού Κοινοβουλίου της ... 2026 σχετικά με το αίτημα για την άρση της ασυλίας του Siegbert Frank Droese(2026/2019(IMM))"/>
  </w:docVars>
  <w:rsids>
    <w:rsidRoot w:val="00364F5A"/>
    <w:rsid w:val="00002272"/>
    <w:rsid w:val="00064002"/>
    <w:rsid w:val="000677B9"/>
    <w:rsid w:val="000831BA"/>
    <w:rsid w:val="000A42CC"/>
    <w:rsid w:val="000D5408"/>
    <w:rsid w:val="000E7DD9"/>
    <w:rsid w:val="0010095E"/>
    <w:rsid w:val="00125B37"/>
    <w:rsid w:val="00187494"/>
    <w:rsid w:val="001F32AE"/>
    <w:rsid w:val="002038C3"/>
    <w:rsid w:val="002767FF"/>
    <w:rsid w:val="00283E47"/>
    <w:rsid w:val="002B18FE"/>
    <w:rsid w:val="002B5493"/>
    <w:rsid w:val="00343214"/>
    <w:rsid w:val="00361C00"/>
    <w:rsid w:val="00364F5A"/>
    <w:rsid w:val="00395FA1"/>
    <w:rsid w:val="003E15D4"/>
    <w:rsid w:val="00411CCE"/>
    <w:rsid w:val="0041666E"/>
    <w:rsid w:val="00421060"/>
    <w:rsid w:val="00471C19"/>
    <w:rsid w:val="00483CFF"/>
    <w:rsid w:val="004867E3"/>
    <w:rsid w:val="00494A28"/>
    <w:rsid w:val="004C0004"/>
    <w:rsid w:val="004C5D52"/>
    <w:rsid w:val="0050519A"/>
    <w:rsid w:val="005072A1"/>
    <w:rsid w:val="00514517"/>
    <w:rsid w:val="005454C1"/>
    <w:rsid w:val="00545827"/>
    <w:rsid w:val="00560270"/>
    <w:rsid w:val="005C2568"/>
    <w:rsid w:val="005F1B17"/>
    <w:rsid w:val="006037C0"/>
    <w:rsid w:val="006631B6"/>
    <w:rsid w:val="00680577"/>
    <w:rsid w:val="006F74FA"/>
    <w:rsid w:val="00706CEF"/>
    <w:rsid w:val="00731ADD"/>
    <w:rsid w:val="00734777"/>
    <w:rsid w:val="00747932"/>
    <w:rsid w:val="00751A4A"/>
    <w:rsid w:val="00756632"/>
    <w:rsid w:val="00762C74"/>
    <w:rsid w:val="00786EC0"/>
    <w:rsid w:val="007D1690"/>
    <w:rsid w:val="007E22AD"/>
    <w:rsid w:val="007F440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E9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B17"/>
    <w:rsid w:val="00D834A0"/>
    <w:rsid w:val="00D872DF"/>
    <w:rsid w:val="00D91E21"/>
    <w:rsid w:val="00DA3801"/>
    <w:rsid w:val="00DA7FCD"/>
    <w:rsid w:val="00E365E1"/>
    <w:rsid w:val="00E820A4"/>
    <w:rsid w:val="00EB006A"/>
    <w:rsid w:val="00EB4772"/>
    <w:rsid w:val="00ED169E"/>
    <w:rsid w:val="00ED4235"/>
    <w:rsid w:val="00F04346"/>
    <w:rsid w:val="00F075DC"/>
    <w:rsid w:val="00F149E9"/>
    <w:rsid w:val="00F5134D"/>
    <w:rsid w:val="00F7252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03AF7"/>
  <w15:chartTrackingRefBased/>
  <w15:docId w15:val="{A7B81AEB-E52A-4DBD-9AD5-DAC018A9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72528"/>
    <w:rPr>
      <w:b/>
    </w:rPr>
  </w:style>
  <w:style w:type="paragraph" w:customStyle="1" w:styleId="NormalHanging12a">
    <w:name w:val="NormalHanging12a"/>
    <w:basedOn w:val="Normal"/>
    <w:rsid w:val="00F72528"/>
    <w:pPr>
      <w:spacing w:after="240"/>
      <w:ind w:left="567" w:hanging="567"/>
    </w:pPr>
  </w:style>
  <w:style w:type="paragraph" w:customStyle="1" w:styleId="EPComma">
    <w:name w:val="EPComma"/>
    <w:basedOn w:val="Normal"/>
    <w:rsid w:val="00F72528"/>
    <w:pPr>
      <w:spacing w:before="480" w:after="240"/>
    </w:pPr>
  </w:style>
  <w:style w:type="paragraph" w:styleId="Revision">
    <w:name w:val="Revision"/>
    <w:hidden/>
    <w:uiPriority w:val="99"/>
    <w:semiHidden/>
    <w:rsid w:val="00706CE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2026-07-07T10:44:00Z</dcterms:created>
  <dcterms:modified xsi:type="dcterms:W3CDTF">2026-07-07T10:44:00Z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A10-0193/2026</vt:lpwstr>
  </property>
  <property fmtid="{D5CDD505-2E9C-101B-9397-08002B2CF9AE}" pid="4" name="&lt;Type&gt;">
    <vt:lpwstr>RR</vt:lpwstr>
  </property>
</Properties>
</file>