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533F" w14:paraId="403A210D" w14:textId="77777777" w:rsidTr="0010095E">
        <w:trPr>
          <w:trHeight w:hRule="exact" w:val="1418"/>
        </w:trPr>
        <w:tc>
          <w:tcPr>
            <w:tcW w:w="6804" w:type="dxa"/>
            <w:shd w:val="clear" w:color="auto" w:fill="auto"/>
            <w:vAlign w:val="center"/>
          </w:tcPr>
          <w:p w14:paraId="4DEDC334" w14:textId="77777777" w:rsidR="00751A4A" w:rsidRPr="00B7533F" w:rsidRDefault="0081227A" w:rsidP="0010095E">
            <w:pPr>
              <w:pStyle w:val="EPName"/>
            </w:pPr>
            <w:r w:rsidRPr="00B7533F">
              <w:t>Parlamento europeo</w:t>
            </w:r>
          </w:p>
          <w:p w14:paraId="35668F5D" w14:textId="77777777" w:rsidR="00751A4A" w:rsidRPr="00B7533F" w:rsidRDefault="005F1B17" w:rsidP="005F1B17">
            <w:pPr>
              <w:pStyle w:val="EPTerm"/>
              <w:rPr>
                <w:rStyle w:val="HideTWBExt"/>
                <w:noProof w:val="0"/>
                <w:vanish w:val="0"/>
                <w:color w:val="auto"/>
              </w:rPr>
            </w:pPr>
            <w:r w:rsidRPr="00B7533F">
              <w:t>2024</w:t>
            </w:r>
            <w:r w:rsidR="00817416" w:rsidRPr="00B7533F">
              <w:t>-202</w:t>
            </w:r>
            <w:r w:rsidRPr="00B7533F">
              <w:t>9</w:t>
            </w:r>
          </w:p>
        </w:tc>
        <w:tc>
          <w:tcPr>
            <w:tcW w:w="2268" w:type="dxa"/>
            <w:shd w:val="clear" w:color="auto" w:fill="auto"/>
          </w:tcPr>
          <w:p w14:paraId="3A96A4B9" w14:textId="77777777" w:rsidR="00751A4A" w:rsidRPr="00B7533F" w:rsidRDefault="00187494" w:rsidP="0010095E">
            <w:pPr>
              <w:pStyle w:val="EPLogo"/>
            </w:pPr>
            <w:r w:rsidRPr="00B7533F">
              <w:rPr>
                <w:noProof/>
                <w:lang w:eastAsia="ja-JP"/>
              </w:rPr>
              <w:drawing>
                <wp:inline distT="0" distB="0" distL="0" distR="0" wp14:anchorId="5E4959F6" wp14:editId="3F0D28A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12D361" w14:textId="77777777" w:rsidR="00D058B8" w:rsidRPr="00B7533F" w:rsidRDefault="00D058B8" w:rsidP="004C5D52">
      <w:pPr>
        <w:pStyle w:val="LineTop"/>
      </w:pPr>
    </w:p>
    <w:p w14:paraId="1A43FA0C" w14:textId="77777777" w:rsidR="00680577" w:rsidRPr="00B7533F" w:rsidRDefault="0081227A" w:rsidP="00680577">
      <w:pPr>
        <w:pStyle w:val="EPBodyTA1"/>
      </w:pPr>
      <w:r w:rsidRPr="00B7533F">
        <w:t>TESTI APPROVATI</w:t>
      </w:r>
    </w:p>
    <w:p w14:paraId="3CDC4E9D" w14:textId="77777777" w:rsidR="00D058B8" w:rsidRPr="00B7533F" w:rsidRDefault="00D058B8" w:rsidP="00D058B8">
      <w:pPr>
        <w:pStyle w:val="LineBottom"/>
      </w:pPr>
    </w:p>
    <w:p w14:paraId="6AC0B5F9" w14:textId="4C30CB08" w:rsidR="0081227A" w:rsidRPr="00B7533F" w:rsidRDefault="0081227A" w:rsidP="0081227A">
      <w:pPr>
        <w:pStyle w:val="ATHeading1"/>
      </w:pPr>
      <w:bookmarkStart w:id="0" w:name="TANumber"/>
      <w:r w:rsidRPr="00B7533F">
        <w:t>P10_</w:t>
      </w:r>
      <w:proofErr w:type="gramStart"/>
      <w:r w:rsidRPr="00B7533F">
        <w:t>TA(</w:t>
      </w:r>
      <w:proofErr w:type="gramEnd"/>
      <w:r w:rsidRPr="00B7533F">
        <w:t>2026)0</w:t>
      </w:r>
      <w:r w:rsidR="00DC3D4A" w:rsidRPr="00B7533F">
        <w:t>236</w:t>
      </w:r>
      <w:bookmarkEnd w:id="0"/>
    </w:p>
    <w:p w14:paraId="7E120298" w14:textId="265114AB" w:rsidR="0081227A" w:rsidRPr="00B7533F" w:rsidRDefault="0081227A" w:rsidP="0081227A">
      <w:pPr>
        <w:pStyle w:val="ATHeading2"/>
      </w:pPr>
      <w:bookmarkStart w:id="1" w:name="title"/>
      <w:r w:rsidRPr="00B7533F">
        <w:t xml:space="preserve">Richiesta di revoca dell'immunità di </w:t>
      </w:r>
      <w:proofErr w:type="spellStart"/>
      <w:r w:rsidRPr="00B7533F">
        <w:t>Siegbert</w:t>
      </w:r>
      <w:proofErr w:type="spellEnd"/>
      <w:r w:rsidRPr="00B7533F">
        <w:t xml:space="preserve"> Frank </w:t>
      </w:r>
      <w:proofErr w:type="spellStart"/>
      <w:r w:rsidRPr="00B7533F">
        <w:t>Droese</w:t>
      </w:r>
      <w:bookmarkEnd w:id="1"/>
      <w:proofErr w:type="spellEnd"/>
    </w:p>
    <w:p w14:paraId="13FA8C10" w14:textId="77777777" w:rsidR="0081227A" w:rsidRPr="00B7533F" w:rsidRDefault="0081227A" w:rsidP="0081227A">
      <w:pPr>
        <w:rPr>
          <w:i/>
          <w:vanish/>
        </w:rPr>
      </w:pPr>
      <w:r w:rsidRPr="00B7533F">
        <w:rPr>
          <w:i/>
        </w:rPr>
        <w:fldChar w:fldCharType="begin"/>
      </w:r>
      <w:r w:rsidRPr="00B7533F">
        <w:rPr>
          <w:i/>
        </w:rPr>
        <w:instrText xml:space="preserve"> TC"(</w:instrText>
      </w:r>
      <w:bookmarkStart w:id="2" w:name="DocNumber"/>
      <w:r w:rsidRPr="00B7533F">
        <w:rPr>
          <w:i/>
        </w:rPr>
        <w:instrText>A10-0193/2026</w:instrText>
      </w:r>
      <w:bookmarkEnd w:id="2"/>
      <w:r w:rsidRPr="00B7533F">
        <w:rPr>
          <w:i/>
        </w:rPr>
        <w:instrText xml:space="preserve"> - Relatore: </w:instrText>
      </w:r>
      <w:proofErr w:type="spellStart"/>
      <w:r w:rsidRPr="00B7533F">
        <w:rPr>
          <w:i/>
        </w:rPr>
        <w:instrText>Adrián</w:instrText>
      </w:r>
      <w:proofErr w:type="spellEnd"/>
      <w:r w:rsidRPr="00B7533F">
        <w:rPr>
          <w:i/>
        </w:rPr>
        <w:instrText xml:space="preserve"> Vázquez </w:instrText>
      </w:r>
      <w:proofErr w:type="spellStart"/>
      <w:r w:rsidRPr="00B7533F">
        <w:rPr>
          <w:i/>
        </w:rPr>
        <w:instrText>Lázara</w:instrText>
      </w:r>
      <w:proofErr w:type="spellEnd"/>
      <w:r w:rsidRPr="00B7533F">
        <w:rPr>
          <w:i/>
        </w:rPr>
        <w:instrText xml:space="preserve">)"\l3 \n&gt; \* MERGEFORMAT </w:instrText>
      </w:r>
      <w:r w:rsidRPr="00B7533F">
        <w:rPr>
          <w:i/>
        </w:rPr>
        <w:fldChar w:fldCharType="end"/>
      </w:r>
    </w:p>
    <w:p w14:paraId="0DDC0B9F" w14:textId="77777777" w:rsidR="0081227A" w:rsidRPr="00B7533F" w:rsidRDefault="0081227A" w:rsidP="0081227A">
      <w:pPr>
        <w:rPr>
          <w:vanish/>
        </w:rPr>
      </w:pPr>
      <w:bookmarkStart w:id="3" w:name="Commission"/>
      <w:r w:rsidRPr="00B7533F">
        <w:rPr>
          <w:vanish/>
        </w:rPr>
        <w:t>Commissione giuridica</w:t>
      </w:r>
      <w:bookmarkEnd w:id="3"/>
    </w:p>
    <w:p w14:paraId="4DB68304" w14:textId="77777777" w:rsidR="0081227A" w:rsidRPr="00B7533F" w:rsidRDefault="0081227A" w:rsidP="0081227A">
      <w:pPr>
        <w:rPr>
          <w:vanish/>
        </w:rPr>
      </w:pPr>
      <w:bookmarkStart w:id="4" w:name="PE"/>
      <w:r w:rsidRPr="00B7533F">
        <w:rPr>
          <w:vanish/>
        </w:rPr>
        <w:t>PE789.054</w:t>
      </w:r>
      <w:bookmarkEnd w:id="4"/>
    </w:p>
    <w:p w14:paraId="6DCD0964" w14:textId="529E1190" w:rsidR="0081227A" w:rsidRPr="00B7533F" w:rsidRDefault="0081227A" w:rsidP="0081227A">
      <w:pPr>
        <w:pStyle w:val="ATHeading3"/>
      </w:pPr>
      <w:bookmarkStart w:id="5" w:name="Sujet"/>
      <w:r w:rsidRPr="00B7533F">
        <w:t xml:space="preserve">Decisione del Parlamento europeo del 7 luglio 2026 sulla richiesta di revoca dell'immunità di </w:t>
      </w:r>
      <w:proofErr w:type="spellStart"/>
      <w:r w:rsidRPr="00B7533F">
        <w:t>Siegbert</w:t>
      </w:r>
      <w:proofErr w:type="spellEnd"/>
      <w:r w:rsidRPr="00B7533F">
        <w:t xml:space="preserve"> Frank </w:t>
      </w:r>
      <w:proofErr w:type="spellStart"/>
      <w:r w:rsidRPr="00B7533F">
        <w:t>Droese</w:t>
      </w:r>
      <w:bookmarkEnd w:id="5"/>
      <w:proofErr w:type="spellEnd"/>
      <w:r w:rsidRPr="00B7533F">
        <w:t xml:space="preserve"> </w:t>
      </w:r>
      <w:bookmarkStart w:id="6" w:name="References"/>
      <w:r w:rsidRPr="00B7533F">
        <w:t>(2026</w:t>
      </w:r>
      <w:r w:rsidR="00BF7038" w:rsidRPr="00B7533F">
        <w:t>/2019</w:t>
      </w:r>
      <w:r w:rsidRPr="00B7533F">
        <w:t>(IMM))</w:t>
      </w:r>
      <w:bookmarkEnd w:id="6"/>
    </w:p>
    <w:p w14:paraId="66130A38" w14:textId="77777777" w:rsidR="00703110" w:rsidRPr="00B7533F" w:rsidRDefault="00703110" w:rsidP="00703110">
      <w:pPr>
        <w:pStyle w:val="EPComma"/>
      </w:pPr>
      <w:bookmarkStart w:id="7" w:name="TextBodyBegin"/>
      <w:bookmarkEnd w:id="7"/>
      <w:r w:rsidRPr="00B7533F">
        <w:rPr>
          <w:i/>
        </w:rPr>
        <w:t>Il Parlamento europeo</w:t>
      </w:r>
      <w:r w:rsidRPr="00B7533F">
        <w:t>,</w:t>
      </w:r>
    </w:p>
    <w:p w14:paraId="037C0474" w14:textId="2D4A1B3C" w:rsidR="00703110" w:rsidRPr="00B7533F" w:rsidRDefault="00703110" w:rsidP="00703110">
      <w:pPr>
        <w:pStyle w:val="NormalHanging12a"/>
      </w:pPr>
      <w:r w:rsidRPr="00B7533F">
        <w:t>–</w:t>
      </w:r>
      <w:r w:rsidRPr="00B7533F">
        <w:tab/>
        <w:t xml:space="preserve">vista la richiesta di revoca dell'immunità di </w:t>
      </w:r>
      <w:proofErr w:type="spellStart"/>
      <w:r w:rsidRPr="00B7533F">
        <w:t>Siegbert</w:t>
      </w:r>
      <w:proofErr w:type="spellEnd"/>
      <w:r w:rsidRPr="00B7533F">
        <w:t xml:space="preserve"> Frank </w:t>
      </w:r>
      <w:proofErr w:type="spellStart"/>
      <w:r w:rsidRPr="00B7533F">
        <w:t>Droese</w:t>
      </w:r>
      <w:proofErr w:type="spellEnd"/>
      <w:r w:rsidRPr="00B7533F">
        <w:t xml:space="preserve">, </w:t>
      </w:r>
      <w:r w:rsidR="0099617E" w:rsidRPr="00B7533F">
        <w:t>ricevuta</w:t>
      </w:r>
      <w:r w:rsidRPr="00B7533F">
        <w:t xml:space="preserve"> con lettera in data 15 gennaio 2026 dal ministero federale tedesco della Giustizia e della protezione dei consumatori, recante una richiesta </w:t>
      </w:r>
      <w:r w:rsidR="0099617E" w:rsidRPr="00B7533F">
        <w:t>datata</w:t>
      </w:r>
      <w:r w:rsidRPr="00B7533F">
        <w:t xml:space="preserve"> 2 dicembre 2025 </w:t>
      </w:r>
      <w:r w:rsidR="0099617E" w:rsidRPr="00B7533F">
        <w:t xml:space="preserve">presentata </w:t>
      </w:r>
      <w:r w:rsidRPr="00B7533F">
        <w:t>d</w:t>
      </w:r>
      <w:r w:rsidR="0099617E" w:rsidRPr="00B7533F">
        <w:t>a</w:t>
      </w:r>
      <w:r w:rsidRPr="00B7533F">
        <w:t>l Tribunale regionale di Dresda, e comunicata in Aula l'11 febbraio 2026,</w:t>
      </w:r>
    </w:p>
    <w:p w14:paraId="47C37E27" w14:textId="5A644E0E" w:rsidR="00703110" w:rsidRPr="00B7533F" w:rsidRDefault="00703110" w:rsidP="00703110">
      <w:pPr>
        <w:pStyle w:val="NormalHanging12a"/>
      </w:pPr>
      <w:r w:rsidRPr="00B7533F">
        <w:t>–</w:t>
      </w:r>
      <w:r w:rsidRPr="00B7533F">
        <w:tab/>
        <w:t xml:space="preserve">visto il diritto di essere ascoltato a norma dell'articolo 9, paragrafo 6, del </w:t>
      </w:r>
      <w:r w:rsidR="0099617E" w:rsidRPr="00B7533F">
        <w:t xml:space="preserve">suo </w:t>
      </w:r>
      <w:r w:rsidRPr="00B7533F">
        <w:t xml:space="preserve">regolamento, al quale </w:t>
      </w:r>
      <w:proofErr w:type="spellStart"/>
      <w:r w:rsidRPr="00B7533F">
        <w:t>Siegbert</w:t>
      </w:r>
      <w:proofErr w:type="spellEnd"/>
      <w:r w:rsidRPr="00B7533F">
        <w:t xml:space="preserve"> Frank </w:t>
      </w:r>
      <w:proofErr w:type="spellStart"/>
      <w:r w:rsidRPr="00B7533F">
        <w:t>Droese</w:t>
      </w:r>
      <w:proofErr w:type="spellEnd"/>
      <w:r w:rsidRPr="00B7533F">
        <w:t xml:space="preserve"> avrebbe rinunciato, </w:t>
      </w:r>
    </w:p>
    <w:p w14:paraId="31CB77DC" w14:textId="77777777" w:rsidR="00703110" w:rsidRPr="00B7533F" w:rsidRDefault="00703110" w:rsidP="00703110">
      <w:pPr>
        <w:pStyle w:val="NormalHanging12a"/>
      </w:pPr>
      <w:r w:rsidRPr="00B7533F">
        <w:t>–</w:t>
      </w:r>
      <w:r w:rsidRPr="00B7533F">
        <w:tab/>
        <w:t>visto l'articolo 9 del protocollo n. 7 sui privilegi e sulle immunità dell'Unione europea e l'articolo 6, paragrafo 2, dell'atto relativo all'elezione dei membri del Parlamento europeo a suffragio universale diretto, del 20 settembre 1976,</w:t>
      </w:r>
    </w:p>
    <w:p w14:paraId="65C1F6A8" w14:textId="77777777" w:rsidR="00703110" w:rsidRPr="00B7533F" w:rsidRDefault="00703110" w:rsidP="00703110">
      <w:pPr>
        <w:pStyle w:val="NormalHanging12a"/>
      </w:pPr>
      <w:r w:rsidRPr="00B7533F">
        <w:t>–</w:t>
      </w:r>
      <w:r w:rsidRPr="00B7533F">
        <w:tab/>
        <w:t>viste le sentenze pronunciate dalla Corte di giustizia dell'Unione europea il 21 ottobre 2008, 19 marzo 2010, 6 settembre 2011, 17 gennaio 2013 e 19 dicembre 2019</w:t>
      </w:r>
      <w:r w:rsidRPr="00B7533F">
        <w:rPr>
          <w:rStyle w:val="FootnoteReference"/>
        </w:rPr>
        <w:footnoteReference w:id="1"/>
      </w:r>
      <w:r w:rsidRPr="00B7533F">
        <w:t>,</w:t>
      </w:r>
    </w:p>
    <w:p w14:paraId="5D206CA9" w14:textId="77777777" w:rsidR="00703110" w:rsidRPr="00B7533F" w:rsidRDefault="00703110" w:rsidP="00703110">
      <w:pPr>
        <w:pStyle w:val="NormalHanging12a"/>
      </w:pPr>
      <w:r w:rsidRPr="00B7533F">
        <w:t>–</w:t>
      </w:r>
      <w:r w:rsidRPr="00B7533F">
        <w:tab/>
        <w:t xml:space="preserve">visto l'articolo 46 della Legge fondamentale della Repubblica federale di Germania, </w:t>
      </w:r>
    </w:p>
    <w:p w14:paraId="3FF5833C" w14:textId="77777777" w:rsidR="00703110" w:rsidRPr="00B7533F" w:rsidRDefault="00703110" w:rsidP="00703110">
      <w:pPr>
        <w:pStyle w:val="NormalHanging12a"/>
      </w:pPr>
      <w:r w:rsidRPr="00B7533F">
        <w:t>–</w:t>
      </w:r>
      <w:r w:rsidRPr="00B7533F">
        <w:tab/>
        <w:t>visti l'articolo 5, paragrafo 2, l'articolo 6, paragrafo 1, e l'articolo 9 del suo regolamento,</w:t>
      </w:r>
    </w:p>
    <w:p w14:paraId="48B86798" w14:textId="77777777" w:rsidR="00703110" w:rsidRPr="00B7533F" w:rsidRDefault="00703110" w:rsidP="00703110">
      <w:pPr>
        <w:pStyle w:val="NormalHanging12a"/>
      </w:pPr>
      <w:r w:rsidRPr="00B7533F">
        <w:t>–</w:t>
      </w:r>
      <w:r w:rsidRPr="00B7533F">
        <w:tab/>
        <w:t>vista la relazione della commissione giuridica (A10</w:t>
      </w:r>
      <w:r w:rsidRPr="00B7533F">
        <w:noBreakHyphen/>
        <w:t>0193/2026),</w:t>
      </w:r>
    </w:p>
    <w:p w14:paraId="656B010B" w14:textId="405C54B2" w:rsidR="00703110" w:rsidRPr="00B7533F" w:rsidRDefault="00703110" w:rsidP="00703110">
      <w:pPr>
        <w:pStyle w:val="NormalHanging12a"/>
      </w:pPr>
      <w:r w:rsidRPr="00B7533F">
        <w:t>A.</w:t>
      </w:r>
      <w:r w:rsidRPr="00B7533F">
        <w:tab/>
        <w:t xml:space="preserve">considerando che il 15 gennaio 2026 il ministero federale tedesco della Giustizia e della </w:t>
      </w:r>
      <w:r w:rsidRPr="00B7533F">
        <w:lastRenderedPageBreak/>
        <w:t xml:space="preserve">protezione dei consumatori ha trasmesso la richiesta del Tribunale regionale di Dresda di revoca dell'immunità di </w:t>
      </w:r>
      <w:proofErr w:type="spellStart"/>
      <w:r w:rsidRPr="00B7533F">
        <w:t>Siegbert</w:t>
      </w:r>
      <w:proofErr w:type="spellEnd"/>
      <w:r w:rsidRPr="00B7533F">
        <w:t xml:space="preserve"> Frank </w:t>
      </w:r>
      <w:proofErr w:type="spellStart"/>
      <w:r w:rsidRPr="00B7533F">
        <w:t>Droese</w:t>
      </w:r>
      <w:proofErr w:type="spellEnd"/>
      <w:r w:rsidRPr="00B7533F">
        <w:t>, deputato al Parlamento europeo eletto in Germania, in relazione a un ricorso da lui presentato nell'ambito di un procedimento penale;</w:t>
      </w:r>
    </w:p>
    <w:p w14:paraId="5513E022" w14:textId="312A154B" w:rsidR="00703110" w:rsidRPr="00B7533F" w:rsidRDefault="00703110" w:rsidP="00703110">
      <w:pPr>
        <w:pStyle w:val="NormalHanging12a"/>
      </w:pPr>
      <w:r w:rsidRPr="00B7533F">
        <w:t>B.</w:t>
      </w:r>
      <w:r w:rsidRPr="00B7533F">
        <w:tab/>
        <w:t xml:space="preserve">considerando che, con sentenza del Tribunale di primo grado di Dresda del 26 aprile 2024, </w:t>
      </w:r>
      <w:proofErr w:type="spellStart"/>
      <w:r w:rsidRPr="00B7533F">
        <w:t>Siegbert</w:t>
      </w:r>
      <w:proofErr w:type="spellEnd"/>
      <w:r w:rsidRPr="00B7533F">
        <w:t xml:space="preserve"> Frank </w:t>
      </w:r>
      <w:proofErr w:type="spellStart"/>
      <w:r w:rsidRPr="00B7533F">
        <w:t>Droese</w:t>
      </w:r>
      <w:proofErr w:type="spellEnd"/>
      <w:r w:rsidRPr="00B7533F">
        <w:t xml:space="preserve"> è stato condannato per vilipendio in due distinte occasioni e al pagamento di un'ammenda; che </w:t>
      </w:r>
      <w:proofErr w:type="spellStart"/>
      <w:r w:rsidRPr="00B7533F">
        <w:t>Siegbert</w:t>
      </w:r>
      <w:proofErr w:type="spellEnd"/>
      <w:r w:rsidRPr="00B7533F">
        <w:t xml:space="preserve"> Frank </w:t>
      </w:r>
      <w:proofErr w:type="spellStart"/>
      <w:r w:rsidRPr="00B7533F">
        <w:t>Droese</w:t>
      </w:r>
      <w:proofErr w:type="spellEnd"/>
      <w:r w:rsidRPr="00B7533F">
        <w:t xml:space="preserve"> ha presentato appello avverso tale sentenza con memoria del suo difensore del 3 maggio 2024;</w:t>
      </w:r>
    </w:p>
    <w:p w14:paraId="768A49B8" w14:textId="367FB5EA" w:rsidR="00703110" w:rsidRPr="00B7533F" w:rsidRDefault="00703110" w:rsidP="00703110">
      <w:pPr>
        <w:pStyle w:val="NormalHanging12a"/>
      </w:pPr>
      <w:r w:rsidRPr="00B7533F">
        <w:t>C.</w:t>
      </w:r>
      <w:r w:rsidRPr="00B7533F">
        <w:tab/>
        <w:t xml:space="preserve">considerando che </w:t>
      </w:r>
      <w:proofErr w:type="spellStart"/>
      <w:r w:rsidRPr="00B7533F">
        <w:t>Siegbert</w:t>
      </w:r>
      <w:proofErr w:type="spellEnd"/>
      <w:r w:rsidRPr="00B7533F">
        <w:t xml:space="preserve"> Frank </w:t>
      </w:r>
      <w:proofErr w:type="spellStart"/>
      <w:r w:rsidRPr="00B7533F">
        <w:t>Droese</w:t>
      </w:r>
      <w:proofErr w:type="spellEnd"/>
      <w:r w:rsidRPr="00B7533F">
        <w:t xml:space="preserve"> è stato eletto al Parlamento europeo </w:t>
      </w:r>
      <w:r w:rsidR="0099617E" w:rsidRPr="00B7533F">
        <w:t xml:space="preserve">alle </w:t>
      </w:r>
      <w:r w:rsidRPr="00B7533F">
        <w:t xml:space="preserve">elezioni europee del giugno 2024; che non era deputato al Parlamento europeo al momento della condanna pronunciata con sentenza del Tribunale di primo grado di Dresda del 26 aprile 2024, né al momento della presentazione del ricorso contro tale sentenza; che, a seguito dell'elezione di </w:t>
      </w:r>
      <w:proofErr w:type="spellStart"/>
      <w:r w:rsidRPr="00B7533F">
        <w:t>Siegbert</w:t>
      </w:r>
      <w:proofErr w:type="spellEnd"/>
      <w:r w:rsidRPr="00B7533F">
        <w:t xml:space="preserve"> Frank </w:t>
      </w:r>
      <w:proofErr w:type="spellStart"/>
      <w:r w:rsidRPr="00B7533F">
        <w:t>Droese</w:t>
      </w:r>
      <w:proofErr w:type="spellEnd"/>
      <w:r w:rsidRPr="00B7533F">
        <w:t xml:space="preserve"> al Parlamento europeo e secondo quanto indicato nella richiesta</w:t>
      </w:r>
      <w:r w:rsidR="0099617E" w:rsidRPr="00B7533F">
        <w:t xml:space="preserve"> del Tribunale regionale di Dresda</w:t>
      </w:r>
      <w:r w:rsidRPr="00B7533F">
        <w:t xml:space="preserve">, ai fini dello svolgimento del procedimento di appello è necessario revocare l'immunità di Frank </w:t>
      </w:r>
      <w:proofErr w:type="spellStart"/>
      <w:r w:rsidRPr="00B7533F">
        <w:t>Siegbert</w:t>
      </w:r>
      <w:proofErr w:type="spellEnd"/>
      <w:r w:rsidRPr="00B7533F">
        <w:t xml:space="preserve"> </w:t>
      </w:r>
      <w:proofErr w:type="spellStart"/>
      <w:r w:rsidRPr="00B7533F">
        <w:t>Droese</w:t>
      </w:r>
      <w:proofErr w:type="spellEnd"/>
      <w:r w:rsidRPr="00B7533F">
        <w:t>;</w:t>
      </w:r>
    </w:p>
    <w:p w14:paraId="323B2216" w14:textId="1E27F516" w:rsidR="00703110" w:rsidRPr="00B7533F" w:rsidRDefault="00703110" w:rsidP="00703110">
      <w:pPr>
        <w:pStyle w:val="NormalHanging12a"/>
      </w:pPr>
      <w:bookmarkStart w:id="8" w:name="_Hlk232522246"/>
      <w:r w:rsidRPr="00B7533F">
        <w:t>D.</w:t>
      </w:r>
      <w:r w:rsidRPr="00B7533F">
        <w:tab/>
        <w:t xml:space="preserve">considerando che </w:t>
      </w:r>
      <w:r w:rsidR="00B65515" w:rsidRPr="00B7533F">
        <w:t xml:space="preserve">i </w:t>
      </w:r>
      <w:r w:rsidRPr="00B7533F">
        <w:t>presunt</w:t>
      </w:r>
      <w:r w:rsidR="00B65515" w:rsidRPr="00B7533F">
        <w:t>i</w:t>
      </w:r>
      <w:r w:rsidRPr="00B7533F">
        <w:t xml:space="preserve"> reat</w:t>
      </w:r>
      <w:r w:rsidR="00B65515" w:rsidRPr="00B7533F">
        <w:t>i</w:t>
      </w:r>
      <w:r w:rsidRPr="00B7533F">
        <w:t xml:space="preserve"> si sono verificati prima che </w:t>
      </w:r>
      <w:proofErr w:type="spellStart"/>
      <w:r w:rsidRPr="00B7533F">
        <w:t>Siegbert</w:t>
      </w:r>
      <w:proofErr w:type="spellEnd"/>
      <w:r w:rsidRPr="00B7533F">
        <w:t xml:space="preserve"> Frank </w:t>
      </w:r>
      <w:proofErr w:type="spellStart"/>
      <w:r w:rsidRPr="00B7533F">
        <w:t>Droese</w:t>
      </w:r>
      <w:proofErr w:type="spellEnd"/>
      <w:r w:rsidRPr="00B7533F">
        <w:t xml:space="preserve"> diventasse deputato al Parlamento europeo e che, pertanto, essi, come pure la successiva richiesta di revoca dell'immunità, non si riferiscono a opinioni o a voti espressi dal deputato nell'esercizio delle sue funzioni ai sensi dell'articolo 8 del protocollo n. 7 sui privilegi e sulle immunità dell'Unione europea;</w:t>
      </w:r>
    </w:p>
    <w:bookmarkEnd w:id="8"/>
    <w:p w14:paraId="219784C7" w14:textId="736649E2" w:rsidR="00703110" w:rsidRPr="00B7533F" w:rsidRDefault="00703110" w:rsidP="00703110">
      <w:pPr>
        <w:pStyle w:val="NormalHanging12a"/>
      </w:pPr>
      <w:r w:rsidRPr="00B7533F">
        <w:t>E.</w:t>
      </w:r>
      <w:r w:rsidRPr="00B7533F">
        <w:tab/>
        <w:t>considerando che l'articolo 9, primo comma, lettera a), del protocollo n. 7 sui privilegi e sulle immunità dell'Unione europea stabilisce che</w:t>
      </w:r>
      <w:r w:rsidR="00B65515" w:rsidRPr="00B7533F">
        <w:t>, per la durata delle sessioni del Parlamento europeo,</w:t>
      </w:r>
      <w:r w:rsidRPr="00B7533F">
        <w:t xml:space="preserve"> i</w:t>
      </w:r>
      <w:r w:rsidR="00A50A30" w:rsidRPr="00B7533F">
        <w:t xml:space="preserve"> suoi</w:t>
      </w:r>
      <w:r w:rsidRPr="00B7533F">
        <w:t xml:space="preserve"> membri beneficiano, sul territorio nazionale, delle immunità riconosciute ai membri del parlamento del loro Stato membro;</w:t>
      </w:r>
    </w:p>
    <w:p w14:paraId="4CCD9784" w14:textId="2F59B4AB" w:rsidR="00703110" w:rsidRPr="00B7533F" w:rsidRDefault="00703110" w:rsidP="00703110">
      <w:pPr>
        <w:pStyle w:val="NormalHanging12a"/>
      </w:pPr>
      <w:r w:rsidRPr="00B7533F">
        <w:t>F.</w:t>
      </w:r>
      <w:r w:rsidRPr="00B7533F">
        <w:tab/>
        <w:t>considerando che l'articolo 46, paragrafi 2, 3 e 4, della Legge fondamentale della Repubblica federale di Germania dispone quanto segue:</w:t>
      </w:r>
    </w:p>
    <w:p w14:paraId="063A78E6" w14:textId="77777777" w:rsidR="00703110" w:rsidRPr="00B7533F" w:rsidRDefault="00703110" w:rsidP="00703110">
      <w:pPr>
        <w:pStyle w:val="NormalHanging12a"/>
        <w:ind w:left="1134"/>
      </w:pPr>
      <w:r w:rsidRPr="00B7533F">
        <w:t>"2)</w:t>
      </w:r>
      <w:r w:rsidRPr="00B7533F">
        <w:tab/>
        <w:t>Un deputato non può essere chiamato a rispondere o essere arrestato per un reato punibile senza l'autorizzazione del Bundestag a meno che non sia stato arrestato in flagrante delitto o nel corso del giorno successivo alla commissione di tale reato.</w:t>
      </w:r>
    </w:p>
    <w:p w14:paraId="0C3CD025" w14:textId="77777777" w:rsidR="00703110" w:rsidRPr="00B7533F" w:rsidRDefault="00703110" w:rsidP="00703110">
      <w:pPr>
        <w:pStyle w:val="NormalHanging12a"/>
        <w:ind w:left="1134"/>
      </w:pPr>
      <w:r w:rsidRPr="00B7533F">
        <w:t>3)</w:t>
      </w:r>
      <w:r w:rsidRPr="00B7533F">
        <w:tab/>
        <w:t>L'autorizzazione del Bundestag è inoltre necessaria per qualsiasi altra restrizione della libertà personale di un deputato o per avviare un procedimento contro un deputato ai sensi dell'articolo 18.</w:t>
      </w:r>
    </w:p>
    <w:p w14:paraId="1409E4F3" w14:textId="77777777" w:rsidR="00703110" w:rsidRPr="00B7533F" w:rsidRDefault="00703110" w:rsidP="00703110">
      <w:pPr>
        <w:pStyle w:val="NormalHanging12a"/>
        <w:ind w:left="1134"/>
      </w:pPr>
      <w:r w:rsidRPr="00B7533F">
        <w:t>4)</w:t>
      </w:r>
      <w:r w:rsidRPr="00B7533F">
        <w:tab/>
        <w:t>Qualsiasi procedimento penale e qualsiasi procedimento ai sensi dell'articolo 18 contro un deputato, qualsiasi arresto e qualsiasi altra restrizione della sua libertà personale devono essere sospesi su richiesta del Bundestag.";</w:t>
      </w:r>
    </w:p>
    <w:p w14:paraId="5AA0F905" w14:textId="77777777" w:rsidR="00703110" w:rsidRPr="00B7533F" w:rsidRDefault="00703110" w:rsidP="00703110">
      <w:pPr>
        <w:pStyle w:val="NormalHanging12a"/>
      </w:pPr>
      <w:r w:rsidRPr="00B7533F">
        <w:t>G.</w:t>
      </w:r>
      <w:r w:rsidRPr="00B7533F">
        <w:tab/>
      </w:r>
      <w:bookmarkStart w:id="9" w:name="_Hlk210920707"/>
      <w:r w:rsidRPr="00B7533F">
        <w:t>considerando che l'immunità prevista dal protocollo n. 7 sui privilegi e sulle immunità dell'Unione europea è intesa a proteggere il Parlamento e i deputati che lo compongono da procedimenti giudiziari relativi ad attività svolte nell'esercizio del mandato parlamentare e che non possono essere disgiunte da esso;</w:t>
      </w:r>
      <w:bookmarkEnd w:id="9"/>
    </w:p>
    <w:p w14:paraId="6C7E1E3D" w14:textId="059B00D9" w:rsidR="00703110" w:rsidRPr="00B7533F" w:rsidRDefault="00703110" w:rsidP="00703110">
      <w:pPr>
        <w:pStyle w:val="NormalHanging12a"/>
      </w:pPr>
      <w:r w:rsidRPr="00B7533F">
        <w:t>H.</w:t>
      </w:r>
      <w:r w:rsidRPr="00B7533F">
        <w:tab/>
        <w:t xml:space="preserve">considerando che, </w:t>
      </w:r>
      <w:r w:rsidR="00B65515" w:rsidRPr="00B7533F">
        <w:t>conformemente</w:t>
      </w:r>
      <w:r w:rsidRPr="00B7533F">
        <w:t xml:space="preserve"> </w:t>
      </w:r>
      <w:r w:rsidR="00B65515" w:rsidRPr="00B7533F">
        <w:t>al</w:t>
      </w:r>
      <w:r w:rsidRPr="00B7533F">
        <w:t xml:space="preserve">l'articolo 5, paragrafo 2, del regolamento, l'immunità parlamentare non è un privilegio personale del deputato, ma una garanzia di </w:t>
      </w:r>
      <w:r w:rsidRPr="00B7533F">
        <w:lastRenderedPageBreak/>
        <w:t xml:space="preserve">indipendenza del Parlamento in quanto istituzione e dei suoi membri; </w:t>
      </w:r>
    </w:p>
    <w:p w14:paraId="3D5AF9CE" w14:textId="77777777" w:rsidR="00703110" w:rsidRPr="00B7533F" w:rsidRDefault="00703110" w:rsidP="00703110">
      <w:pPr>
        <w:pStyle w:val="NormalHanging12a"/>
      </w:pPr>
      <w:r w:rsidRPr="00B7533F">
        <w:t>I.</w:t>
      </w:r>
      <w:r w:rsidRPr="00B7533F">
        <w:tab/>
        <w:t>considerando, da un lato, che il Parlamento non dovrebbe essere assimilato a un tribunale e, dall'altro, che il deputato non dovrebbe, nel contesto di una procedura di revoca dell'immunità, essere considerato un "accusato"</w:t>
      </w:r>
      <w:r w:rsidRPr="00B7533F">
        <w:rPr>
          <w:rStyle w:val="FootnoteReference"/>
        </w:rPr>
        <w:footnoteReference w:id="2"/>
      </w:r>
      <w:r w:rsidRPr="00B7533F">
        <w:t>;</w:t>
      </w:r>
    </w:p>
    <w:p w14:paraId="662E2030" w14:textId="0452B9DA" w:rsidR="00703110" w:rsidRPr="00B7533F" w:rsidRDefault="00703110" w:rsidP="00703110">
      <w:pPr>
        <w:pStyle w:val="NormalHanging12a"/>
      </w:pPr>
      <w:r w:rsidRPr="00B7533F">
        <w:t>J.</w:t>
      </w:r>
      <w:r w:rsidRPr="00B7533F">
        <w:tab/>
        <w:t xml:space="preserve">considerando che, nel caso di specie, non è possibile presumere che si tratti di </w:t>
      </w:r>
      <w:r w:rsidRPr="00B7533F">
        <w:rPr>
          <w:i/>
        </w:rPr>
        <w:t xml:space="preserve">fumus </w:t>
      </w:r>
      <w:proofErr w:type="spellStart"/>
      <w:r w:rsidRPr="00B7533F">
        <w:rPr>
          <w:i/>
        </w:rPr>
        <w:t>persecutionis</w:t>
      </w:r>
      <w:proofErr w:type="spellEnd"/>
      <w:r w:rsidRPr="00B7533F">
        <w:t xml:space="preserve">, vale a dire che l'intento alla base del procedimento giudiziario in questione sia quello di </w:t>
      </w:r>
      <w:r w:rsidR="001702F4" w:rsidRPr="00B7533F">
        <w:t>recare pregiudizio</w:t>
      </w:r>
      <w:r w:rsidRPr="00B7533F">
        <w:t xml:space="preserve"> </w:t>
      </w:r>
      <w:r w:rsidR="001702F4" w:rsidRPr="00B7533F">
        <w:t>al</w:t>
      </w:r>
      <w:r w:rsidRPr="00B7533F">
        <w:t xml:space="preserve">l'attività politica di </w:t>
      </w:r>
      <w:proofErr w:type="spellStart"/>
      <w:r w:rsidRPr="00B7533F">
        <w:t>Siegbert</w:t>
      </w:r>
      <w:proofErr w:type="spellEnd"/>
      <w:r w:rsidRPr="00B7533F">
        <w:t xml:space="preserve"> Frank </w:t>
      </w:r>
      <w:proofErr w:type="spellStart"/>
      <w:r w:rsidRPr="00B7533F">
        <w:t>Droese</w:t>
      </w:r>
      <w:proofErr w:type="spellEnd"/>
      <w:r w:rsidRPr="00B7533F">
        <w:t xml:space="preserve"> in quanto deputato al Parlamento europeo e, di conseguen</w:t>
      </w:r>
      <w:r w:rsidR="001702F4" w:rsidRPr="00B7533F">
        <w:t>za</w:t>
      </w:r>
      <w:r w:rsidRPr="00B7533F">
        <w:t xml:space="preserve">, </w:t>
      </w:r>
      <w:r w:rsidR="001702F4" w:rsidRPr="00B7533F">
        <w:t>al</w:t>
      </w:r>
      <w:r w:rsidRPr="00B7533F">
        <w:t>l'indipendenza del Parlamento;</w:t>
      </w:r>
    </w:p>
    <w:p w14:paraId="1295AECD" w14:textId="77777777" w:rsidR="00703110" w:rsidRPr="00B7533F" w:rsidRDefault="00703110" w:rsidP="00703110">
      <w:pPr>
        <w:pStyle w:val="NormalHanging12a"/>
      </w:pPr>
      <w:r w:rsidRPr="00B7533F">
        <w:t>1.</w:t>
      </w:r>
      <w:r w:rsidRPr="00B7533F">
        <w:tab/>
        <w:t xml:space="preserve">decide di revocare l'immunità di </w:t>
      </w:r>
      <w:proofErr w:type="spellStart"/>
      <w:r w:rsidRPr="00B7533F">
        <w:t>Siegbert</w:t>
      </w:r>
      <w:proofErr w:type="spellEnd"/>
      <w:r w:rsidRPr="00B7533F">
        <w:t xml:space="preserve"> Frank </w:t>
      </w:r>
      <w:proofErr w:type="spellStart"/>
      <w:r w:rsidRPr="00B7533F">
        <w:t>Droese</w:t>
      </w:r>
      <w:proofErr w:type="spellEnd"/>
      <w:r w:rsidRPr="00B7533F">
        <w:t>;</w:t>
      </w:r>
    </w:p>
    <w:p w14:paraId="135FAE64" w14:textId="77777777" w:rsidR="00E36B40" w:rsidRPr="00B7533F" w:rsidRDefault="00703110" w:rsidP="00E36B40">
      <w:pPr>
        <w:pStyle w:val="NormalHanging12a"/>
      </w:pPr>
      <w:r w:rsidRPr="00B7533F">
        <w:t>2.</w:t>
      </w:r>
      <w:r w:rsidRPr="00B7533F">
        <w:tab/>
        <w:t xml:space="preserve">incarica la sua Presidente di trasmettere immediatamente la presente decisione e la relazione della sua commissione competente all'autorità competente della Repubblica federale di Germania e a </w:t>
      </w:r>
      <w:proofErr w:type="spellStart"/>
      <w:r w:rsidRPr="00B7533F">
        <w:t>Siegbert</w:t>
      </w:r>
      <w:proofErr w:type="spellEnd"/>
      <w:r w:rsidRPr="00B7533F">
        <w:t xml:space="preserve"> Frank </w:t>
      </w:r>
      <w:proofErr w:type="spellStart"/>
      <w:r w:rsidRPr="00B7533F">
        <w:t>Droese</w:t>
      </w:r>
      <w:proofErr w:type="spellEnd"/>
      <w:r w:rsidRPr="00B7533F">
        <w:t>.</w:t>
      </w:r>
    </w:p>
    <w:p w14:paraId="58B1E37B" w14:textId="77777777" w:rsidR="00E365E1" w:rsidRPr="00B7533F" w:rsidRDefault="00E365E1" w:rsidP="0081227A"/>
    <w:sectPr w:rsidR="00E365E1" w:rsidRPr="00B7533F" w:rsidSect="00E36B4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7EE868" w14:textId="77777777" w:rsidR="0081227A" w:rsidRPr="00E36B40" w:rsidRDefault="0081227A">
      <w:r w:rsidRPr="00E36B40">
        <w:separator/>
      </w:r>
    </w:p>
  </w:endnote>
  <w:endnote w:type="continuationSeparator" w:id="0">
    <w:p w14:paraId="162C0F0E" w14:textId="77777777" w:rsidR="0081227A" w:rsidRPr="00E36B40" w:rsidRDefault="0081227A">
      <w:r w:rsidRPr="00E36B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4844E" w14:textId="77777777" w:rsidR="00064002" w:rsidRPr="00E36B4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21AFE" w14:textId="77777777" w:rsidR="00064002" w:rsidRPr="00E36B4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0701D" w14:textId="77777777" w:rsidR="00064002" w:rsidRPr="00E36B4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DE6DC7" w14:textId="77777777" w:rsidR="0081227A" w:rsidRPr="00E36B40" w:rsidRDefault="0081227A">
      <w:r w:rsidRPr="00E36B40">
        <w:separator/>
      </w:r>
    </w:p>
  </w:footnote>
  <w:footnote w:type="continuationSeparator" w:id="0">
    <w:p w14:paraId="33EDEDC3" w14:textId="77777777" w:rsidR="0081227A" w:rsidRPr="00E36B40" w:rsidRDefault="0081227A">
      <w:r w:rsidRPr="00E36B40">
        <w:continuationSeparator/>
      </w:r>
    </w:p>
  </w:footnote>
  <w:footnote w:id="1">
    <w:p w14:paraId="55471C5C" w14:textId="77777777" w:rsidR="00703110" w:rsidRPr="00E36B40" w:rsidRDefault="00703110" w:rsidP="00E36B40">
      <w:pPr>
        <w:pStyle w:val="FootnoteText"/>
        <w:ind w:left="567" w:hanging="567"/>
        <w:rPr>
          <w:sz w:val="24"/>
          <w:lang w:val="it-IT"/>
        </w:rPr>
      </w:pPr>
      <w:r w:rsidRPr="00E36B40">
        <w:rPr>
          <w:rStyle w:val="FootnoteReference"/>
          <w:sz w:val="24"/>
          <w:lang w:val="it-IT"/>
        </w:rPr>
        <w:footnoteRef/>
      </w:r>
      <w:r w:rsidR="00E36B40" w:rsidRPr="00E36B40">
        <w:rPr>
          <w:sz w:val="24"/>
          <w:lang w:val="it-IT"/>
        </w:rPr>
        <w:t xml:space="preserve"> </w:t>
      </w:r>
      <w:r w:rsidR="00E36B40" w:rsidRPr="00E36B40">
        <w:rPr>
          <w:sz w:val="24"/>
          <w:lang w:val="it-IT"/>
        </w:rPr>
        <w:tab/>
      </w:r>
      <w:r w:rsidRPr="00E36B40">
        <w:rPr>
          <w:sz w:val="24"/>
          <w:lang w:val="it-IT"/>
        </w:rPr>
        <w:t xml:space="preserve">Sentenza della Corte di giustizia del 21 ottobre 2008, </w:t>
      </w:r>
      <w:r w:rsidRPr="00DC3D4A">
        <w:rPr>
          <w:i/>
          <w:iCs/>
          <w:sz w:val="24"/>
          <w:lang w:val="it-IT"/>
        </w:rPr>
        <w:t>Marra/De Gregorio e Clemente</w:t>
      </w:r>
      <w:r w:rsidRPr="00E36B40">
        <w:rPr>
          <w:sz w:val="24"/>
          <w:lang w:val="it-IT"/>
        </w:rPr>
        <w:t xml:space="preserve">, C-200/07 e C-201/07, ECLI:EU:C:2008:579; sentenza del Tribunale del 19 marzo 2010, </w:t>
      </w:r>
      <w:proofErr w:type="spellStart"/>
      <w:r w:rsidRPr="00DC3D4A">
        <w:rPr>
          <w:i/>
          <w:iCs/>
          <w:sz w:val="24"/>
          <w:lang w:val="it-IT"/>
        </w:rPr>
        <w:t>Gollnisch</w:t>
      </w:r>
      <w:proofErr w:type="spellEnd"/>
      <w:r w:rsidRPr="00DC3D4A">
        <w:rPr>
          <w:i/>
          <w:iCs/>
          <w:sz w:val="24"/>
          <w:lang w:val="it-IT"/>
        </w:rPr>
        <w:t>/Parlamento</w:t>
      </w:r>
      <w:r w:rsidRPr="00E36B40">
        <w:rPr>
          <w:sz w:val="24"/>
          <w:lang w:val="it-IT"/>
        </w:rPr>
        <w:t xml:space="preserve">, T-42/06, ECLI:EU:T:2010:102; sentenza della Corte di giustizia del 6 settembre 2011, </w:t>
      </w:r>
      <w:r w:rsidRPr="00DC3D4A">
        <w:rPr>
          <w:i/>
          <w:iCs/>
          <w:sz w:val="24"/>
          <w:lang w:val="it-IT"/>
        </w:rPr>
        <w:t>Patriciello</w:t>
      </w:r>
      <w:r w:rsidRPr="00E36B40">
        <w:rPr>
          <w:sz w:val="24"/>
          <w:lang w:val="it-IT"/>
        </w:rPr>
        <w:t xml:space="preserve">, C-163/10, ECLI: EU:C:2011:543; sentenza del Tribunale del 17 gennaio 2013, </w:t>
      </w:r>
      <w:proofErr w:type="spellStart"/>
      <w:r w:rsidRPr="00DC3D4A">
        <w:rPr>
          <w:i/>
          <w:iCs/>
          <w:sz w:val="24"/>
          <w:lang w:val="it-IT"/>
        </w:rPr>
        <w:t>Gollnisch</w:t>
      </w:r>
      <w:proofErr w:type="spellEnd"/>
      <w:r w:rsidRPr="00DC3D4A">
        <w:rPr>
          <w:i/>
          <w:iCs/>
          <w:sz w:val="24"/>
          <w:lang w:val="it-IT"/>
        </w:rPr>
        <w:t>/Parlamento</w:t>
      </w:r>
      <w:r w:rsidRPr="00E36B40">
        <w:rPr>
          <w:sz w:val="24"/>
          <w:lang w:val="it-IT"/>
        </w:rPr>
        <w:t xml:space="preserve">, T-346/11 e T-347/11, ECLI:EU:T:2013:23; sentenza della Corte di giustizia del 19 dicembre 2019, </w:t>
      </w:r>
      <w:proofErr w:type="spellStart"/>
      <w:r w:rsidRPr="00DC3D4A">
        <w:rPr>
          <w:i/>
          <w:iCs/>
          <w:sz w:val="24"/>
          <w:lang w:val="it-IT"/>
        </w:rPr>
        <w:t>Junqueras</w:t>
      </w:r>
      <w:proofErr w:type="spellEnd"/>
      <w:r w:rsidRPr="00DC3D4A">
        <w:rPr>
          <w:i/>
          <w:iCs/>
          <w:sz w:val="24"/>
          <w:lang w:val="it-IT"/>
        </w:rPr>
        <w:t xml:space="preserve"> </w:t>
      </w:r>
      <w:proofErr w:type="spellStart"/>
      <w:r w:rsidRPr="00DC3D4A">
        <w:rPr>
          <w:i/>
          <w:iCs/>
          <w:sz w:val="24"/>
          <w:lang w:val="it-IT"/>
        </w:rPr>
        <w:t>Vies</w:t>
      </w:r>
      <w:proofErr w:type="spellEnd"/>
      <w:r w:rsidRPr="00E36B40">
        <w:rPr>
          <w:sz w:val="24"/>
          <w:lang w:val="it-IT"/>
        </w:rPr>
        <w:t>, C-502/19, ECLI:EU:C:2019:1115.</w:t>
      </w:r>
    </w:p>
  </w:footnote>
  <w:footnote w:id="2">
    <w:p w14:paraId="2417E837" w14:textId="77777777" w:rsidR="00703110" w:rsidRPr="00E36B40" w:rsidRDefault="00703110" w:rsidP="00E36B40">
      <w:pPr>
        <w:pStyle w:val="FootnoteText"/>
        <w:ind w:left="567" w:hanging="567"/>
        <w:rPr>
          <w:sz w:val="24"/>
          <w:lang w:val="it-IT"/>
        </w:rPr>
      </w:pPr>
      <w:r w:rsidRPr="00E36B40">
        <w:rPr>
          <w:rStyle w:val="FootnoteReference"/>
          <w:sz w:val="24"/>
          <w:lang w:val="it-IT"/>
        </w:rPr>
        <w:footnoteRef/>
      </w:r>
      <w:r w:rsidR="00E36B40" w:rsidRPr="00E36B40">
        <w:rPr>
          <w:sz w:val="24"/>
          <w:lang w:val="it-IT"/>
        </w:rPr>
        <w:t xml:space="preserve"> </w:t>
      </w:r>
      <w:r w:rsidR="00E36B40" w:rsidRPr="00E36B40">
        <w:rPr>
          <w:sz w:val="24"/>
          <w:lang w:val="it-IT"/>
        </w:rPr>
        <w:tab/>
      </w:r>
      <w:r w:rsidRPr="00E36B40">
        <w:rPr>
          <w:sz w:val="24"/>
          <w:lang w:val="it-IT"/>
        </w:rPr>
        <w:t xml:space="preserve">Sentenza del Tribunale del 30 aprile 2019, </w:t>
      </w:r>
      <w:proofErr w:type="spellStart"/>
      <w:r w:rsidRPr="00E36B40">
        <w:rPr>
          <w:sz w:val="24"/>
          <w:lang w:val="it-IT"/>
        </w:rPr>
        <w:t>Briois</w:t>
      </w:r>
      <w:proofErr w:type="spellEnd"/>
      <w:r w:rsidRPr="00E36B40">
        <w:rPr>
          <w:sz w:val="24"/>
          <w:lang w:val="it-IT"/>
        </w:rPr>
        <w:t>/Parlamento, T-214/18, ECLI:</w:t>
      </w:r>
      <w:proofErr w:type="gramStart"/>
      <w:r w:rsidRPr="00E36B40">
        <w:rPr>
          <w:sz w:val="24"/>
          <w:lang w:val="it-IT"/>
        </w:rPr>
        <w:t>EU:T</w:t>
      </w:r>
      <w:proofErr w:type="gramEnd"/>
      <w:r w:rsidRPr="00E36B40">
        <w:rPr>
          <w:sz w:val="24"/>
          <w:lang w:val="it-IT"/>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8DB26" w14:textId="77777777" w:rsidR="00064002" w:rsidRPr="00E36B4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E7F1B" w14:textId="77777777" w:rsidR="00064002" w:rsidRPr="00E36B4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B54DB" w14:textId="77777777" w:rsidR="00064002" w:rsidRPr="00E36B4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15465584">
    <w:abstractNumId w:val="9"/>
  </w:num>
  <w:num w:numId="2" w16cid:durableId="1657605185">
    <w:abstractNumId w:val="9"/>
  </w:num>
  <w:num w:numId="3" w16cid:durableId="1848248041">
    <w:abstractNumId w:val="7"/>
  </w:num>
  <w:num w:numId="4" w16cid:durableId="488717341">
    <w:abstractNumId w:val="7"/>
  </w:num>
  <w:num w:numId="5" w16cid:durableId="336034555">
    <w:abstractNumId w:val="6"/>
  </w:num>
  <w:num w:numId="6" w16cid:durableId="676929618">
    <w:abstractNumId w:val="6"/>
  </w:num>
  <w:num w:numId="7" w16cid:durableId="2118062992">
    <w:abstractNumId w:val="5"/>
  </w:num>
  <w:num w:numId="8" w16cid:durableId="1439906977">
    <w:abstractNumId w:val="5"/>
  </w:num>
  <w:num w:numId="9" w16cid:durableId="906763756">
    <w:abstractNumId w:val="4"/>
  </w:num>
  <w:num w:numId="10" w16cid:durableId="1390690375">
    <w:abstractNumId w:val="4"/>
  </w:num>
  <w:num w:numId="11" w16cid:durableId="397289951">
    <w:abstractNumId w:val="8"/>
  </w:num>
  <w:num w:numId="12" w16cid:durableId="210072157">
    <w:abstractNumId w:val="8"/>
  </w:num>
  <w:num w:numId="13" w16cid:durableId="1873229030">
    <w:abstractNumId w:val="3"/>
  </w:num>
  <w:num w:numId="14" w16cid:durableId="118455809">
    <w:abstractNumId w:val="3"/>
  </w:num>
  <w:num w:numId="15" w16cid:durableId="1454792335">
    <w:abstractNumId w:val="2"/>
  </w:num>
  <w:num w:numId="16" w16cid:durableId="2130515322">
    <w:abstractNumId w:val="2"/>
  </w:num>
  <w:num w:numId="17" w16cid:durableId="462426928">
    <w:abstractNumId w:val="1"/>
  </w:num>
  <w:num w:numId="18" w16cid:durableId="1346516283">
    <w:abstractNumId w:val="1"/>
  </w:num>
  <w:num w:numId="19" w16cid:durableId="715853230">
    <w:abstractNumId w:val="0"/>
  </w:num>
  <w:num w:numId="20" w16cid:durableId="1309480896">
    <w:abstractNumId w:val="0"/>
  </w:num>
  <w:num w:numId="21" w16cid:durableId="1664311759">
    <w:abstractNumId w:val="9"/>
  </w:num>
  <w:num w:numId="22" w16cid:durableId="1341545363">
    <w:abstractNumId w:val="7"/>
  </w:num>
  <w:num w:numId="23" w16cid:durableId="509678950">
    <w:abstractNumId w:val="6"/>
  </w:num>
  <w:num w:numId="24" w16cid:durableId="2041936179">
    <w:abstractNumId w:val="5"/>
  </w:num>
  <w:num w:numId="25" w16cid:durableId="2145731894">
    <w:abstractNumId w:val="4"/>
  </w:num>
  <w:num w:numId="26" w16cid:durableId="1004211335">
    <w:abstractNumId w:val="8"/>
  </w:num>
  <w:num w:numId="27" w16cid:durableId="574168520">
    <w:abstractNumId w:val="3"/>
  </w:num>
  <w:num w:numId="28" w16cid:durableId="867573194">
    <w:abstractNumId w:val="2"/>
  </w:num>
  <w:num w:numId="29" w16cid:durableId="1427577237">
    <w:abstractNumId w:val="1"/>
  </w:num>
  <w:num w:numId="30" w16cid:durableId="1934433794">
    <w:abstractNumId w:val="0"/>
  </w:num>
  <w:num w:numId="31" w16cid:durableId="1764690441">
    <w:abstractNumId w:val="9"/>
  </w:num>
  <w:num w:numId="32" w16cid:durableId="747505498">
    <w:abstractNumId w:val="7"/>
  </w:num>
  <w:num w:numId="33" w16cid:durableId="1844319151">
    <w:abstractNumId w:val="6"/>
  </w:num>
  <w:num w:numId="34" w16cid:durableId="258343296">
    <w:abstractNumId w:val="5"/>
  </w:num>
  <w:num w:numId="35" w16cid:durableId="401948371">
    <w:abstractNumId w:val="4"/>
  </w:num>
  <w:num w:numId="36" w16cid:durableId="885680972">
    <w:abstractNumId w:val="8"/>
  </w:num>
  <w:num w:numId="37" w16cid:durableId="1381435233">
    <w:abstractNumId w:val="3"/>
  </w:num>
  <w:num w:numId="38" w16cid:durableId="849375517">
    <w:abstractNumId w:val="2"/>
  </w:num>
  <w:num w:numId="39" w16cid:durableId="567150551">
    <w:abstractNumId w:val="1"/>
  </w:num>
  <w:num w:numId="40" w16cid:durableId="1847398017">
    <w:abstractNumId w:val="0"/>
  </w:num>
  <w:num w:numId="41" w16cid:durableId="1490362762">
    <w:abstractNumId w:val="10"/>
  </w:num>
  <w:num w:numId="42" w16cid:durableId="1532186398">
    <w:abstractNumId w:val="10"/>
  </w:num>
  <w:num w:numId="43" w16cid:durableId="502016490">
    <w:abstractNumId w:val="10"/>
  </w:num>
  <w:num w:numId="44" w16cid:durableId="13466361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3/2026"/>
    <w:docVar w:name="dvlangue" w:val="IT"/>
    <w:docVar w:name="dvnumam" w:val="0"/>
    <w:docVar w:name="dvpe" w:val="789.054"/>
    <w:docVar w:name="dvrapporteur" w:val="Relatore: "/>
    <w:docVar w:name="dvtitre" w:val="Decisione del Parlamento europeo del 7 luglio 2026 sulla richiesta di revoca dell'immunità di Siegbert Frank Droese(2019/2026(IMM))"/>
  </w:docVars>
  <w:rsids>
    <w:rsidRoot w:val="0081227A"/>
    <w:rsid w:val="00002272"/>
    <w:rsid w:val="00064002"/>
    <w:rsid w:val="000677B9"/>
    <w:rsid w:val="000831BA"/>
    <w:rsid w:val="000A42CC"/>
    <w:rsid w:val="000E7DD9"/>
    <w:rsid w:val="0010095E"/>
    <w:rsid w:val="00114CF7"/>
    <w:rsid w:val="00125B37"/>
    <w:rsid w:val="001702F4"/>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38C0"/>
    <w:rsid w:val="005C2568"/>
    <w:rsid w:val="005F1B17"/>
    <w:rsid w:val="006037C0"/>
    <w:rsid w:val="006631B6"/>
    <w:rsid w:val="00680577"/>
    <w:rsid w:val="006F5F5E"/>
    <w:rsid w:val="006F74FA"/>
    <w:rsid w:val="00703110"/>
    <w:rsid w:val="00731ADD"/>
    <w:rsid w:val="00734777"/>
    <w:rsid w:val="00747932"/>
    <w:rsid w:val="00751A4A"/>
    <w:rsid w:val="00756632"/>
    <w:rsid w:val="00762C74"/>
    <w:rsid w:val="007816DD"/>
    <w:rsid w:val="00786EC0"/>
    <w:rsid w:val="007D1690"/>
    <w:rsid w:val="007E22AD"/>
    <w:rsid w:val="0081227A"/>
    <w:rsid w:val="00817416"/>
    <w:rsid w:val="00842779"/>
    <w:rsid w:val="00865F67"/>
    <w:rsid w:val="00881A7B"/>
    <w:rsid w:val="008840E5"/>
    <w:rsid w:val="00887B3E"/>
    <w:rsid w:val="008C2AC6"/>
    <w:rsid w:val="00930C23"/>
    <w:rsid w:val="0093193B"/>
    <w:rsid w:val="009509D8"/>
    <w:rsid w:val="00950B64"/>
    <w:rsid w:val="00981893"/>
    <w:rsid w:val="0099617E"/>
    <w:rsid w:val="00A1687D"/>
    <w:rsid w:val="00A43E52"/>
    <w:rsid w:val="00A4678D"/>
    <w:rsid w:val="00A50A30"/>
    <w:rsid w:val="00A778C7"/>
    <w:rsid w:val="00AB441E"/>
    <w:rsid w:val="00AB6293"/>
    <w:rsid w:val="00AE0928"/>
    <w:rsid w:val="00AF3B82"/>
    <w:rsid w:val="00B12E95"/>
    <w:rsid w:val="00B22876"/>
    <w:rsid w:val="00B558F0"/>
    <w:rsid w:val="00B65515"/>
    <w:rsid w:val="00B7533F"/>
    <w:rsid w:val="00BD48FE"/>
    <w:rsid w:val="00BD7BD8"/>
    <w:rsid w:val="00BE6ADC"/>
    <w:rsid w:val="00BF7038"/>
    <w:rsid w:val="00C05BFE"/>
    <w:rsid w:val="00C23CD4"/>
    <w:rsid w:val="00C61C0C"/>
    <w:rsid w:val="00C941CB"/>
    <w:rsid w:val="00CC2357"/>
    <w:rsid w:val="00CC7CCA"/>
    <w:rsid w:val="00CF071A"/>
    <w:rsid w:val="00D058B8"/>
    <w:rsid w:val="00D56C11"/>
    <w:rsid w:val="00D834A0"/>
    <w:rsid w:val="00D872DF"/>
    <w:rsid w:val="00D91E21"/>
    <w:rsid w:val="00DA7FCD"/>
    <w:rsid w:val="00DC3D4A"/>
    <w:rsid w:val="00E365E1"/>
    <w:rsid w:val="00E36B4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FD6DFC"/>
  <w15:chartTrackingRefBased/>
  <w15:docId w15:val="{0B86BD73-92AA-4781-9845-57C0A6E4C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03110"/>
    <w:pPr>
      <w:spacing w:after="240"/>
      <w:ind w:left="567" w:hanging="567"/>
    </w:pPr>
  </w:style>
  <w:style w:type="paragraph" w:customStyle="1" w:styleId="EPComma">
    <w:name w:val="EPComma"/>
    <w:basedOn w:val="Normal"/>
    <w:rsid w:val="00703110"/>
    <w:pPr>
      <w:spacing w:before="480" w:after="240"/>
    </w:pPr>
  </w:style>
  <w:style w:type="paragraph" w:styleId="Revision">
    <w:name w:val="Revision"/>
    <w:hidden/>
    <w:uiPriority w:val="99"/>
    <w:semiHidden/>
    <w:rsid w:val="0099617E"/>
    <w:rPr>
      <w:sz w:val="24"/>
      <w:lang w:val="it-IT"/>
    </w:rPr>
  </w:style>
  <w:style w:type="character" w:styleId="CommentReference">
    <w:name w:val="annotation reference"/>
    <w:basedOn w:val="DefaultParagraphFont"/>
    <w:rsid w:val="0099617E"/>
    <w:rPr>
      <w:sz w:val="16"/>
      <w:szCs w:val="16"/>
    </w:rPr>
  </w:style>
  <w:style w:type="paragraph" w:styleId="CommentText">
    <w:name w:val="annotation text"/>
    <w:basedOn w:val="Normal"/>
    <w:link w:val="CommentTextChar"/>
    <w:rsid w:val="0099617E"/>
    <w:rPr>
      <w:sz w:val="20"/>
    </w:rPr>
  </w:style>
  <w:style w:type="character" w:customStyle="1" w:styleId="CommentTextChar">
    <w:name w:val="Comment Text Char"/>
    <w:basedOn w:val="DefaultParagraphFont"/>
    <w:link w:val="CommentText"/>
    <w:rsid w:val="0099617E"/>
    <w:rPr>
      <w:lang w:val="it-IT"/>
    </w:rPr>
  </w:style>
  <w:style w:type="paragraph" w:styleId="CommentSubject">
    <w:name w:val="annotation subject"/>
    <w:basedOn w:val="CommentText"/>
    <w:next w:val="CommentText"/>
    <w:link w:val="CommentSubjectChar"/>
    <w:rsid w:val="0099617E"/>
    <w:rPr>
      <w:b/>
      <w:bCs/>
    </w:rPr>
  </w:style>
  <w:style w:type="character" w:customStyle="1" w:styleId="CommentSubjectChar">
    <w:name w:val="Comment Subject Char"/>
    <w:basedOn w:val="CommentTextChar"/>
    <w:link w:val="CommentSubject"/>
    <w:rsid w:val="0099617E"/>
    <w:rPr>
      <w:b/>
      <w:bCs/>
      <w:lang w:val="it-IT"/>
    </w:rPr>
  </w:style>
  <w:style w:type="character" w:styleId="Hyperlink">
    <w:name w:val="Hyperlink"/>
    <w:basedOn w:val="DefaultParagraphFont"/>
    <w:rsid w:val="00B65515"/>
    <w:rPr>
      <w:color w:val="0563C1" w:themeColor="hyperlink"/>
      <w:u w:val="single"/>
    </w:rPr>
  </w:style>
  <w:style w:type="character" w:styleId="UnresolvedMention">
    <w:name w:val="Unresolved Mention"/>
    <w:basedOn w:val="DefaultParagraphFont"/>
    <w:uiPriority w:val="99"/>
    <w:semiHidden/>
    <w:unhideWhenUsed/>
    <w:rsid w:val="00B65515"/>
    <w:rPr>
      <w:color w:val="605E5C"/>
      <w:shd w:val="clear" w:color="auto" w:fill="E1DFDD"/>
    </w:rPr>
  </w:style>
  <w:style w:type="character" w:customStyle="1" w:styleId="italic">
    <w:name w:val="italic"/>
    <w:basedOn w:val="DefaultParagraphFont"/>
    <w:rsid w:val="001702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836</Words>
  <Characters>4969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Cecilia Lombardini</dc:creator>
  <cp:keywords/>
  <cp:lastModifiedBy>CL</cp:lastModifiedBy>
  <cp:revision>2</cp:revision>
  <cp:lastPrinted>2004-11-19T15:42:00Z</cp:lastPrinted>
  <dcterms:created xsi:type="dcterms:W3CDTF">2026-07-08T07:49:00Z</dcterms:created>
  <dcterms:modified xsi:type="dcterms:W3CDTF">2026-07-08T07:49:00Z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P10_TA(2026)0236_</vt:lpwstr>
  </property>
  <property fmtid="{D5CDD505-2E9C-101B-9397-08002B2CF9AE}" pid="4" name="&lt;Type&gt;">
    <vt:lpwstr>RR</vt:lpwstr>
  </property>
</Properties>
</file>