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693D" w14:paraId="135EE679" w14:textId="77777777" w:rsidTr="0010095E">
        <w:trPr>
          <w:trHeight w:hRule="exact" w:val="1418"/>
        </w:trPr>
        <w:tc>
          <w:tcPr>
            <w:tcW w:w="6804" w:type="dxa"/>
            <w:shd w:val="clear" w:color="auto" w:fill="auto"/>
            <w:vAlign w:val="center"/>
          </w:tcPr>
          <w:p w14:paraId="014446C1" w14:textId="77777777" w:rsidR="00751A4A" w:rsidRPr="0020693D" w:rsidRDefault="00C34AD9" w:rsidP="0010095E">
            <w:pPr>
              <w:pStyle w:val="EPName"/>
            </w:pPr>
            <w:r w:rsidRPr="0020693D">
              <w:t>Eiropas Parlaments</w:t>
            </w:r>
          </w:p>
          <w:p w14:paraId="335B1622" w14:textId="77777777" w:rsidR="00751A4A" w:rsidRPr="0020693D" w:rsidRDefault="005F1B17" w:rsidP="005F1B17">
            <w:pPr>
              <w:pStyle w:val="EPTerm"/>
              <w:rPr>
                <w:rStyle w:val="HideTWBExt"/>
                <w:noProof w:val="0"/>
                <w:vanish w:val="0"/>
                <w:color w:val="auto"/>
              </w:rPr>
            </w:pPr>
            <w:r w:rsidRPr="0020693D">
              <w:t>2024</w:t>
            </w:r>
            <w:r w:rsidR="00817416" w:rsidRPr="0020693D">
              <w:t>-202</w:t>
            </w:r>
            <w:r w:rsidRPr="0020693D">
              <w:t>9</w:t>
            </w:r>
          </w:p>
        </w:tc>
        <w:tc>
          <w:tcPr>
            <w:tcW w:w="2268" w:type="dxa"/>
            <w:shd w:val="clear" w:color="auto" w:fill="auto"/>
          </w:tcPr>
          <w:p w14:paraId="486CDCC9" w14:textId="77777777" w:rsidR="00751A4A" w:rsidRPr="0020693D" w:rsidRDefault="00187494" w:rsidP="0010095E">
            <w:pPr>
              <w:pStyle w:val="EPLogo"/>
            </w:pPr>
            <w:r w:rsidRPr="0020693D">
              <w:rPr>
                <w:noProof/>
                <w:lang w:eastAsia="ja-JP"/>
              </w:rPr>
              <w:drawing>
                <wp:inline distT="0" distB="0" distL="0" distR="0" wp14:anchorId="51758A7B" wp14:editId="254E63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BC6ADA" w14:textId="77777777" w:rsidR="00D058B8" w:rsidRPr="0020693D" w:rsidRDefault="00D058B8" w:rsidP="004C5D52">
      <w:pPr>
        <w:pStyle w:val="LineTop"/>
      </w:pPr>
    </w:p>
    <w:p w14:paraId="695BFE31" w14:textId="77777777" w:rsidR="00680577" w:rsidRPr="0020693D" w:rsidRDefault="00C34AD9" w:rsidP="00680577">
      <w:pPr>
        <w:pStyle w:val="EPBodyTA1"/>
      </w:pPr>
      <w:r w:rsidRPr="0020693D">
        <w:t>PIEŅEMTIE TEKSTI</w:t>
      </w:r>
    </w:p>
    <w:p w14:paraId="09338535" w14:textId="77777777" w:rsidR="00D058B8" w:rsidRPr="0020693D" w:rsidRDefault="00D058B8" w:rsidP="00D058B8">
      <w:pPr>
        <w:pStyle w:val="LineBottom"/>
      </w:pPr>
    </w:p>
    <w:p w14:paraId="1889E8D8" w14:textId="3AB037EB" w:rsidR="00C34AD9" w:rsidRPr="0020693D" w:rsidRDefault="00C34AD9" w:rsidP="00C34AD9">
      <w:pPr>
        <w:pStyle w:val="ATHeading1"/>
      </w:pPr>
      <w:bookmarkStart w:id="0" w:name="TANumber"/>
      <w:r w:rsidRPr="0020693D">
        <w:t>P10_TA(2026)0</w:t>
      </w:r>
      <w:bookmarkEnd w:id="0"/>
      <w:r w:rsidR="0020693D" w:rsidRPr="0020693D">
        <w:t>236</w:t>
      </w:r>
    </w:p>
    <w:p w14:paraId="7DB66ED9" w14:textId="11C6E596" w:rsidR="00C34AD9" w:rsidRPr="0020693D" w:rsidRDefault="00880175" w:rsidP="00C34AD9">
      <w:pPr>
        <w:pStyle w:val="ATHeading2"/>
      </w:pPr>
      <w:bookmarkStart w:id="1" w:name="title"/>
      <w:r w:rsidRPr="0020693D">
        <w:t>Piepras</w:t>
      </w:r>
      <w:r w:rsidRPr="0020693D">
        <w:rPr>
          <w:rFonts w:hint="eastAsia"/>
        </w:rPr>
        <w:t>ī</w:t>
      </w:r>
      <w:r w:rsidRPr="0020693D">
        <w:t xml:space="preserve">jums atcelt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rPr>
          <w:i/>
          <w:iCs/>
        </w:rPr>
        <w:t xml:space="preserve"> </w:t>
      </w:r>
      <w:r w:rsidRPr="0020693D">
        <w:t>imunit</w:t>
      </w:r>
      <w:r w:rsidRPr="0020693D">
        <w:rPr>
          <w:rFonts w:hint="eastAsia"/>
        </w:rPr>
        <w:t>ā</w:t>
      </w:r>
      <w:r w:rsidRPr="0020693D">
        <w:t>ti</w:t>
      </w:r>
      <w:bookmarkEnd w:id="1"/>
    </w:p>
    <w:p w14:paraId="5AC76681" w14:textId="77777777" w:rsidR="00C34AD9" w:rsidRPr="0020693D" w:rsidRDefault="00C34AD9" w:rsidP="00C34AD9">
      <w:pPr>
        <w:rPr>
          <w:i/>
          <w:vanish/>
        </w:rPr>
      </w:pPr>
      <w:r w:rsidRPr="0020693D">
        <w:rPr>
          <w:i/>
        </w:rPr>
        <w:fldChar w:fldCharType="begin"/>
      </w:r>
      <w:r w:rsidRPr="0020693D">
        <w:rPr>
          <w:i/>
        </w:rPr>
        <w:instrText xml:space="preserve"> TC"(</w:instrText>
      </w:r>
      <w:bookmarkStart w:id="2" w:name="DocNumber"/>
      <w:r w:rsidRPr="0020693D">
        <w:rPr>
          <w:i/>
        </w:rPr>
        <w:instrText>A10-0193/2026</w:instrText>
      </w:r>
      <w:bookmarkEnd w:id="2"/>
      <w:r w:rsidRPr="0020693D">
        <w:rPr>
          <w:i/>
        </w:rPr>
        <w:instrText xml:space="preserve"> - Referents: Adrián Vázquez Lázara)"\l3 \n&gt; \* MERGEFORMAT </w:instrText>
      </w:r>
      <w:r w:rsidRPr="0020693D">
        <w:rPr>
          <w:i/>
        </w:rPr>
        <w:fldChar w:fldCharType="end"/>
      </w:r>
    </w:p>
    <w:p w14:paraId="2EB43D74" w14:textId="77777777" w:rsidR="00C34AD9" w:rsidRPr="0020693D" w:rsidRDefault="00C34AD9" w:rsidP="00C34AD9">
      <w:pPr>
        <w:rPr>
          <w:vanish/>
        </w:rPr>
      </w:pPr>
      <w:bookmarkStart w:id="3" w:name="Commission"/>
      <w:r w:rsidRPr="0020693D">
        <w:rPr>
          <w:vanish/>
        </w:rPr>
        <w:t>Juridiskā komiteja</w:t>
      </w:r>
      <w:bookmarkEnd w:id="3"/>
    </w:p>
    <w:p w14:paraId="53A655C5" w14:textId="77777777" w:rsidR="00C34AD9" w:rsidRPr="0020693D" w:rsidRDefault="00C34AD9" w:rsidP="00C34AD9">
      <w:pPr>
        <w:rPr>
          <w:vanish/>
        </w:rPr>
      </w:pPr>
      <w:bookmarkStart w:id="4" w:name="PE"/>
      <w:r w:rsidRPr="0020693D">
        <w:rPr>
          <w:vanish/>
        </w:rPr>
        <w:t>PE789.054</w:t>
      </w:r>
      <w:bookmarkEnd w:id="4"/>
    </w:p>
    <w:p w14:paraId="2F353D1C" w14:textId="20EDE105" w:rsidR="00C34AD9" w:rsidRPr="0020693D" w:rsidRDefault="00C34AD9" w:rsidP="00C34AD9">
      <w:pPr>
        <w:pStyle w:val="ATHeading3"/>
      </w:pPr>
      <w:bookmarkStart w:id="5" w:name="Sujet"/>
      <w:r w:rsidRPr="0020693D">
        <w:t xml:space="preserve">Eiropas Parlamenta 2026. gada </w:t>
      </w:r>
      <w:r w:rsidR="00880175" w:rsidRPr="0020693D">
        <w:t>7</w:t>
      </w:r>
      <w:r w:rsidRPr="0020693D">
        <w:t xml:space="preserve">. </w:t>
      </w:r>
      <w:r w:rsidR="00880175" w:rsidRPr="0020693D">
        <w:t>jūlija</w:t>
      </w:r>
      <w:r w:rsidRPr="0020693D">
        <w:t xml:space="preserve"> lēmums par pieprasījumu atcelt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imunitāti</w:t>
      </w:r>
      <w:bookmarkEnd w:id="5"/>
      <w:r w:rsidRPr="0020693D">
        <w:t xml:space="preserve"> </w:t>
      </w:r>
      <w:bookmarkStart w:id="6" w:name="References"/>
      <w:r w:rsidRPr="0020693D">
        <w:t>(2026/2019(IMM))</w:t>
      </w:r>
      <w:bookmarkEnd w:id="6"/>
    </w:p>
    <w:p w14:paraId="33DFA63C" w14:textId="77777777" w:rsidR="00B84F74" w:rsidRPr="0020693D" w:rsidRDefault="00B84F74" w:rsidP="00B84F74">
      <w:pPr>
        <w:pStyle w:val="EPComma"/>
      </w:pPr>
      <w:bookmarkStart w:id="7" w:name="TextBodyBegin"/>
      <w:bookmarkEnd w:id="7"/>
      <w:r w:rsidRPr="0020693D">
        <w:rPr>
          <w:i/>
          <w:iCs/>
        </w:rPr>
        <w:t>Eiropas Parlaments</w:t>
      </w:r>
      <w:r w:rsidRPr="0020693D">
        <w:t>,</w:t>
      </w:r>
    </w:p>
    <w:p w14:paraId="25F92D81" w14:textId="77777777" w:rsidR="00B84F74" w:rsidRPr="0020693D" w:rsidRDefault="00B84F74" w:rsidP="00B84F74">
      <w:pPr>
        <w:pStyle w:val="NormalHanging12a"/>
      </w:pPr>
      <w:r w:rsidRPr="0020693D">
        <w:t>–</w:t>
      </w:r>
      <w:r w:rsidRPr="0020693D">
        <w:tab/>
        <w:t xml:space="preserve">ņemot vērā 2026. gada 11. februāra plenārsēdē izziņoto pieprasījumu atcelt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imunitāti, kas saņemts no Vācijas Tieslietu un patērētāju aizsardzības federālās ministrijas 2026. gada 15. janvāra vēstulē, ar kuru ir nosūtīts Drēzdenes Augstākās reģionālās tiesas 2025. gada 2. decembra pieprasījums,</w:t>
      </w:r>
    </w:p>
    <w:p w14:paraId="6353824E" w14:textId="77777777" w:rsidR="00B84F74" w:rsidRPr="0020693D" w:rsidRDefault="00B84F74" w:rsidP="00B84F74">
      <w:pPr>
        <w:pStyle w:val="NormalHanging12a"/>
      </w:pPr>
      <w:r w:rsidRPr="0020693D">
        <w:t>–</w:t>
      </w:r>
      <w:r w:rsidRPr="0020693D">
        <w:tab/>
        <w:t xml:space="preserve">ņemot vērā, ka tiek uzskatīts, ka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ir atteicies no tiesībām tikt uzklausītam saskaņā ar Reglamenta 9. panta 6. punktu, </w:t>
      </w:r>
    </w:p>
    <w:p w14:paraId="15BADF60" w14:textId="77777777" w:rsidR="00B84F74" w:rsidRPr="0020693D" w:rsidRDefault="00B84F74" w:rsidP="00B84F74">
      <w:pPr>
        <w:pStyle w:val="NormalHanging12a"/>
      </w:pPr>
      <w:r w:rsidRPr="0020693D">
        <w:t>–</w:t>
      </w:r>
      <w:r w:rsidRPr="0020693D">
        <w:tab/>
        <w:t>ņemot vērā Protokola Nr. 7 par privilēģijām un imunitāti Eiropas Savienībā 9. pantu, kā arī 1976. gada 20. septembra Akta par Eiropas Parlamenta deputātu ievēlēšanu tiešās vispārējās vēlēšanās 6. panta 2. punktu,</w:t>
      </w:r>
    </w:p>
    <w:p w14:paraId="3D183513" w14:textId="4E38B41D" w:rsidR="00B84F74" w:rsidRPr="0020693D" w:rsidRDefault="00B84F74" w:rsidP="00B84F74">
      <w:pPr>
        <w:pStyle w:val="NormalHanging12a"/>
      </w:pPr>
      <w:r w:rsidRPr="0020693D">
        <w:t>–</w:t>
      </w:r>
      <w:r w:rsidRPr="0020693D">
        <w:tab/>
        <w:t>ņemot vērā Eiropas Savienības Tiesas 2008. gada 21. oktobra, 2010. gada 19. marta, 2011. gada 6. septembra, 2013. gada 17. janvāra un 2019. gada 19. decembra spriedumu</w:t>
      </w:r>
      <w:r w:rsidR="00582B7F" w:rsidRPr="0020693D">
        <w:t>s</w:t>
      </w:r>
      <w:r w:rsidRPr="0020693D">
        <w:rPr>
          <w:rStyle w:val="FootnoteReference"/>
        </w:rPr>
        <w:footnoteReference w:id="1"/>
      </w:r>
      <w:r w:rsidRPr="0020693D">
        <w:t>,</w:t>
      </w:r>
    </w:p>
    <w:p w14:paraId="64B8F384" w14:textId="77777777" w:rsidR="00B84F74" w:rsidRPr="0020693D" w:rsidRDefault="00B84F74" w:rsidP="00B84F74">
      <w:pPr>
        <w:pStyle w:val="NormalHanging12a"/>
      </w:pPr>
      <w:r w:rsidRPr="0020693D">
        <w:t>–</w:t>
      </w:r>
      <w:r w:rsidRPr="0020693D">
        <w:tab/>
        <w:t xml:space="preserve">ņemot vērā Vācijas Federālās Republikas Pamatlikuma 46. pantu, </w:t>
      </w:r>
    </w:p>
    <w:p w14:paraId="2662F216" w14:textId="77777777" w:rsidR="00B84F74" w:rsidRPr="0020693D" w:rsidRDefault="00B84F74" w:rsidP="00B84F74">
      <w:pPr>
        <w:pStyle w:val="NormalHanging12a"/>
      </w:pPr>
      <w:r w:rsidRPr="0020693D">
        <w:t>–</w:t>
      </w:r>
      <w:r w:rsidRPr="0020693D">
        <w:tab/>
        <w:t>ņemot vērā Reglamenta 5. panta 2. punktu, 6. panta 1. punktu un 9. pantu,</w:t>
      </w:r>
    </w:p>
    <w:p w14:paraId="3CEDF562" w14:textId="77777777" w:rsidR="00B84F74" w:rsidRPr="0020693D" w:rsidRDefault="00B84F74" w:rsidP="00B84F74">
      <w:pPr>
        <w:pStyle w:val="NormalHanging12a"/>
      </w:pPr>
      <w:r w:rsidRPr="0020693D">
        <w:t>–</w:t>
      </w:r>
      <w:r w:rsidRPr="0020693D">
        <w:tab/>
        <w:t>ņemot vērā Juridiskās komitejas ziņojumu (A10</w:t>
      </w:r>
      <w:r w:rsidRPr="0020693D">
        <w:noBreakHyphen/>
        <w:t>0193/2026),</w:t>
      </w:r>
    </w:p>
    <w:p w14:paraId="0FEB7DB5" w14:textId="67683659" w:rsidR="00B84F74" w:rsidRPr="0020693D" w:rsidRDefault="00B84F74" w:rsidP="00B84F74">
      <w:pPr>
        <w:pStyle w:val="NormalHanging12a"/>
      </w:pPr>
      <w:r w:rsidRPr="0020693D">
        <w:lastRenderedPageBreak/>
        <w:t>A.</w:t>
      </w:r>
      <w:r w:rsidRPr="0020693D">
        <w:tab/>
        <w:t xml:space="preserve">tā kā 2026. gada 15. janvārī Vācijas Tieslietu un patērētāju aizsardzības federālā ministrija nosūtīja Drēzdenes Augstākās reģionālās tiesas pieprasījumu atcelt imunitāti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kas ir Vācijā ievēlēts Eiropas Parlamenta deputāts</w:t>
      </w:r>
      <w:r w:rsidR="00582B7F" w:rsidRPr="0020693D">
        <w:t xml:space="preserve">, saistībā ar </w:t>
      </w:r>
      <w:r w:rsidRPr="0020693D">
        <w:t xml:space="preserve"> </w:t>
      </w:r>
      <w:r w:rsidR="00582B7F" w:rsidRPr="0020693D">
        <w:t xml:space="preserve">viņa iesniegto </w:t>
      </w:r>
      <w:r w:rsidRPr="0020693D">
        <w:t>pārsūdzību kriminālprocesā;</w:t>
      </w:r>
    </w:p>
    <w:p w14:paraId="584238B5" w14:textId="3F25B354" w:rsidR="00B84F74" w:rsidRPr="0020693D" w:rsidRDefault="00B84F74" w:rsidP="00B84F74">
      <w:pPr>
        <w:pStyle w:val="NormalHanging12a"/>
      </w:pPr>
      <w:r w:rsidRPr="0020693D">
        <w:t>B.</w:t>
      </w:r>
      <w:r w:rsidRPr="0020693D">
        <w:tab/>
        <w:t xml:space="preserve">tā kā Drēzdenes pirmās instances tiesas 2024. gada 26. aprīļa spriedumā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ir notiesāts par diviem atsevišķiem cieņu pazemojošas izturēšanās gadījumiem un viņam </w:t>
      </w:r>
      <w:r w:rsidR="00582B7F" w:rsidRPr="0020693D">
        <w:t xml:space="preserve">ir piespriests </w:t>
      </w:r>
      <w:r w:rsidRPr="0020693D">
        <w:t xml:space="preserve">naudas </w:t>
      </w:r>
      <w:r w:rsidR="00582B7F" w:rsidRPr="0020693D">
        <w:t>sods</w:t>
      </w:r>
      <w:r w:rsidRPr="0020693D">
        <w:t xml:space="preserve">; tā kā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2024. gada 3. maijā </w:t>
      </w:r>
      <w:r w:rsidR="00582B7F" w:rsidRPr="0020693D">
        <w:t xml:space="preserve">ar </w:t>
      </w:r>
      <w:r w:rsidRPr="0020693D">
        <w:t xml:space="preserve">sava aizstāvības advokāta rakstveida </w:t>
      </w:r>
      <w:r w:rsidR="00582B7F" w:rsidRPr="0020693D">
        <w:t xml:space="preserve">iesniegumu </w:t>
      </w:r>
      <w:r w:rsidRPr="0020693D">
        <w:t xml:space="preserve">šo spriedumu apstrīdēja; </w:t>
      </w:r>
    </w:p>
    <w:p w14:paraId="7F865B2E" w14:textId="245D82E5" w:rsidR="00B84F74" w:rsidRPr="0020693D" w:rsidRDefault="00B84F74" w:rsidP="00B84F74">
      <w:pPr>
        <w:pStyle w:val="NormalHanging12a"/>
      </w:pPr>
      <w:r w:rsidRPr="0020693D">
        <w:t>C.</w:t>
      </w:r>
      <w:r w:rsidRPr="0020693D">
        <w:tab/>
        <w:t xml:space="preserve">tā kā 2024. gada jūnija Eiropas Parlamenta vēlēšanās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tika ievēlēts par Eiropas Parlamenta deputātu; tā kā viņš ne laikā, kad tika piespriests Drēzdenes pirmās instances 2024. gada 26. aprīļa spriedums, ne laikā, kad tika iesniegta apelācijas sūdzība pret to, nebija Eiropas Parlamenta deputāts; tā kā pēc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ievēlēšanas Eiropas Parlamentā un saskaņā ar </w:t>
      </w:r>
      <w:r w:rsidR="00880175" w:rsidRPr="0020693D">
        <w:t xml:space="preserve">Drēzdenes </w:t>
      </w:r>
      <w:r w:rsidR="00582B7F" w:rsidRPr="0020693D">
        <w:t>Augstākās reģionālās</w:t>
      </w:r>
      <w:r w:rsidR="00880175" w:rsidRPr="0020693D">
        <w:t xml:space="preserve"> tiesas </w:t>
      </w:r>
      <w:r w:rsidRPr="0020693D">
        <w:t xml:space="preserve">pieprasījumu, lai turpinātu apelācijas tiesvedību, ir jāpieprasa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imunitātes atcelšana;</w:t>
      </w:r>
    </w:p>
    <w:p w14:paraId="6064F556" w14:textId="77777777" w:rsidR="00B84F74" w:rsidRPr="0020693D" w:rsidRDefault="00B84F74" w:rsidP="00B84F74">
      <w:pPr>
        <w:pStyle w:val="NormalHanging12a"/>
      </w:pPr>
      <w:bookmarkStart w:id="8" w:name="_Hlk232522246"/>
      <w:r w:rsidRPr="0020693D">
        <w:t>D.</w:t>
      </w:r>
      <w:r w:rsidRPr="0020693D">
        <w:tab/>
        <w:t xml:space="preserve">tā kā darbības, kas ir inkriminēto noziedzīgo nodarījumu pamatā, notika, pirms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kļuva par Eiropas Parlamenta deputātu, un no tiem izrietošais pieprasījums atcelt viņa imunitāti tādējādi nav saistīts nedz ar viedokli, kuru viņš būtu paudis, nedz ar balsojumu, kuru viņš būtu veicis, pildot savus pienākumus Protokola Nr. 7 par privilēģijām un imunitāti Eiropas Savienībā 8. panta nozīmē;</w:t>
      </w:r>
    </w:p>
    <w:bookmarkEnd w:id="8"/>
    <w:p w14:paraId="1C24C760" w14:textId="77777777" w:rsidR="00B84F74" w:rsidRPr="0020693D" w:rsidRDefault="00B84F74" w:rsidP="00B84F74">
      <w:pPr>
        <w:pStyle w:val="NormalHanging12a"/>
      </w:pPr>
      <w:r w:rsidRPr="0020693D">
        <w:t>E.</w:t>
      </w:r>
      <w:r w:rsidRPr="0020693D">
        <w:tab/>
        <w:t>tā kā saskaņā ar Protokola Nr. 7 par privilēģijām un imunitāti Eiropas Savienībā 9. panta pirmās daļas a) punktu Eiropas Parlamenta locekļiem savā dalībvalstī ir imunitāte, ko piešķir attiecīgās valsts parlamenta locekļiem;</w:t>
      </w:r>
    </w:p>
    <w:p w14:paraId="4A016D44" w14:textId="77777777" w:rsidR="00B84F74" w:rsidRPr="0020693D" w:rsidRDefault="00B84F74" w:rsidP="00B84F74">
      <w:pPr>
        <w:pStyle w:val="NormalHanging12a"/>
      </w:pPr>
      <w:r w:rsidRPr="0020693D">
        <w:t>F.</w:t>
      </w:r>
      <w:r w:rsidRPr="0020693D">
        <w:tab/>
        <w:t>tā kā Vācijas Federālās Republikas Pamatlikuma 46. panta 2., 3. un 4. punkta normas ir šādas:</w:t>
      </w:r>
    </w:p>
    <w:p w14:paraId="33C996CE" w14:textId="77777777" w:rsidR="00B84F74" w:rsidRPr="0020693D" w:rsidRDefault="00B84F74" w:rsidP="00B84F74">
      <w:pPr>
        <w:pStyle w:val="NormalHanging12a"/>
        <w:ind w:left="1134"/>
      </w:pPr>
      <w:r w:rsidRPr="0020693D">
        <w:t>“2.</w:t>
      </w:r>
      <w:r w:rsidRPr="0020693D">
        <w:tab/>
        <w:t>Deputātu saukt pie atbildības vai aizturēt par sodāmu nodarījumu drīkst tikai ar Bundestāga atļauju, ja vien deputāts nav aizturēts pārkāpuma izdarīšanas brīdī vai nākamās dienas laikā.</w:t>
      </w:r>
    </w:p>
    <w:p w14:paraId="57AB3327" w14:textId="77777777" w:rsidR="00B84F74" w:rsidRPr="0020693D" w:rsidRDefault="00B84F74" w:rsidP="00B84F74">
      <w:pPr>
        <w:pStyle w:val="NormalHanging12a"/>
        <w:ind w:left="1134"/>
      </w:pPr>
      <w:r w:rsidRPr="0020693D">
        <w:t>3)</w:t>
      </w:r>
      <w:r w:rsidRPr="0020693D">
        <w:tab/>
        <w:t>Bundestāga piekrišana papildus tam ir nepieciešama arī jebkādai citai deputāta personīgās brīvības ierobežošanai un 18. pantā paredzētā procesa ierosināšanai pret viņu.</w:t>
      </w:r>
    </w:p>
    <w:p w14:paraId="5DD64299" w14:textId="77777777" w:rsidR="00B84F74" w:rsidRPr="0020693D" w:rsidRDefault="00B84F74" w:rsidP="00B84F74">
      <w:pPr>
        <w:pStyle w:val="NormalHanging12a"/>
        <w:ind w:left="1134"/>
      </w:pPr>
      <w:r w:rsidRPr="0020693D">
        <w:t>4)</w:t>
      </w:r>
      <w:r w:rsidRPr="0020693D">
        <w:tab/>
        <w:t>Ja Bundestāgs to prasa, jebkurš pret deputātu ierosināts kriminālprocess vai jebkurš 18. pantā paredzētais process, jebkura aizturēšana vai jebkura cita personīgās brīvības ierobežošana ir jāaptur.”;</w:t>
      </w:r>
    </w:p>
    <w:p w14:paraId="7FC5C2D7" w14:textId="0E96257D" w:rsidR="00B84F74" w:rsidRPr="0020693D" w:rsidRDefault="00B84F74" w:rsidP="00B84F74">
      <w:pPr>
        <w:pStyle w:val="NormalHanging12a"/>
      </w:pPr>
      <w:r w:rsidRPr="0020693D">
        <w:t>G.</w:t>
      </w:r>
      <w:r w:rsidRPr="0020693D">
        <w:tab/>
      </w:r>
      <w:bookmarkStart w:id="9" w:name="_Hlk210920707"/>
      <w:r w:rsidRPr="0020693D">
        <w:t xml:space="preserve">tā kā Protokola Nr. 7 par imunitāti un privilēģijām Eiropas Savienībā paredzētās imunitātes mērķis ir aizsargāt Parlamentu un tā deputātus pret </w:t>
      </w:r>
      <w:r w:rsidR="002C23B0" w:rsidRPr="0020693D">
        <w:t>tiesvedībām</w:t>
      </w:r>
      <w:r w:rsidRPr="0020693D">
        <w:t xml:space="preserve">, kas tiek </w:t>
      </w:r>
      <w:r w:rsidR="002C23B0" w:rsidRPr="0020693D">
        <w:t xml:space="preserve">ierosinātas </w:t>
      </w:r>
      <w:r w:rsidRPr="0020693D">
        <w:t>par darbībām, kuras ir veiktas, pildot parlamentāros pienākumus, un kuras atrauti no šiem pienākumiem skatīt nevar;</w:t>
      </w:r>
      <w:bookmarkEnd w:id="9"/>
    </w:p>
    <w:p w14:paraId="60D0BB73" w14:textId="77777777" w:rsidR="00B84F74" w:rsidRPr="0020693D" w:rsidRDefault="00B84F74" w:rsidP="00B84F74">
      <w:pPr>
        <w:pStyle w:val="NormalHanging12a"/>
      </w:pPr>
      <w:r w:rsidRPr="0020693D">
        <w:t>H.</w:t>
      </w:r>
      <w:r w:rsidRPr="0020693D">
        <w:tab/>
        <w:t xml:space="preserve">tā kā saskaņā ar Reglamenta 5. panta 2. punktu deputāta imunitāte nav viņa personīgā privilēģija, bet gan tā ir uzskatāma par visa Parlamenta un tā deputātu neatkarības garantiju; </w:t>
      </w:r>
    </w:p>
    <w:p w14:paraId="42B402AB" w14:textId="77777777" w:rsidR="00B84F74" w:rsidRPr="0020693D" w:rsidRDefault="00B84F74" w:rsidP="00B84F74">
      <w:pPr>
        <w:pStyle w:val="NormalHanging12a"/>
      </w:pPr>
      <w:r w:rsidRPr="0020693D">
        <w:lastRenderedPageBreak/>
        <w:t>I.</w:t>
      </w:r>
      <w:r w:rsidRPr="0020693D">
        <w:tab/>
        <w:t>tā kā, no vienas puses, Parlaments nevar tikt pielīdzināts tiesai un, no otras puses, deputāts imunitātes atcelšanas procedūras kontekstā nevar tikt uzskatīts par apsūdzēto</w:t>
      </w:r>
      <w:r w:rsidRPr="0020693D">
        <w:rPr>
          <w:rStyle w:val="FootnoteReference"/>
        </w:rPr>
        <w:footnoteReference w:id="2"/>
      </w:r>
      <w:r w:rsidRPr="0020693D">
        <w:t>;</w:t>
      </w:r>
    </w:p>
    <w:p w14:paraId="0ED73670" w14:textId="77777777" w:rsidR="00B84F74" w:rsidRPr="0020693D" w:rsidRDefault="00B84F74" w:rsidP="00B84F74">
      <w:pPr>
        <w:pStyle w:val="NormalHanging12a"/>
      </w:pPr>
      <w:r w:rsidRPr="0020693D">
        <w:t>J.</w:t>
      </w:r>
      <w:r w:rsidRPr="0020693D">
        <w:tab/>
        <w:t xml:space="preserve">tā kā šķiet, ka šajā gadījumā nevar konstatēt </w:t>
      </w:r>
      <w:proofErr w:type="spellStart"/>
      <w:r w:rsidRPr="0020693D">
        <w:rPr>
          <w:i/>
          <w:iCs/>
        </w:rPr>
        <w:t>fumus</w:t>
      </w:r>
      <w:proofErr w:type="spellEnd"/>
      <w:r w:rsidRPr="0020693D">
        <w:rPr>
          <w:i/>
          <w:iCs/>
        </w:rPr>
        <w:t xml:space="preserve"> </w:t>
      </w:r>
      <w:proofErr w:type="spellStart"/>
      <w:r w:rsidRPr="0020693D">
        <w:rPr>
          <w:i/>
          <w:iCs/>
        </w:rPr>
        <w:t>persecutionis</w:t>
      </w:r>
      <w:proofErr w:type="spellEnd"/>
      <w:r w:rsidRPr="0020693D">
        <w:t>, proti, faktiskus apstākļus, kas norādītu uz to, ka attiecīgā tiesvedība ir ierosināta, lai kaitētu Eiropas Parlamenta deputāta politiskajai darbībai un tādējādi arī Parlamenta neatkarībai,</w:t>
      </w:r>
    </w:p>
    <w:p w14:paraId="715011C5" w14:textId="77777777" w:rsidR="00B84F74" w:rsidRPr="0020693D" w:rsidRDefault="00B84F74" w:rsidP="00B84F74">
      <w:pPr>
        <w:pStyle w:val="NormalHanging12a"/>
      </w:pPr>
      <w:r w:rsidRPr="0020693D">
        <w:t>1.</w:t>
      </w:r>
      <w:r w:rsidRPr="0020693D">
        <w:tab/>
        <w:t xml:space="preserve">nolemj atcelt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 xml:space="preserve"> imunitāti;</w:t>
      </w:r>
    </w:p>
    <w:p w14:paraId="27C69D6A" w14:textId="17358357" w:rsidR="00101F23" w:rsidRPr="0020693D" w:rsidRDefault="00B84F74" w:rsidP="00101F23">
      <w:pPr>
        <w:pStyle w:val="NormalHanging12a"/>
      </w:pPr>
      <w:r w:rsidRPr="0020693D">
        <w:t>2.</w:t>
      </w:r>
      <w:r w:rsidRPr="0020693D">
        <w:tab/>
        <w:t xml:space="preserve">uzdod priekšsēdētājai šo lēmumu un atbildīgās komitejas ziņojumu nekavējoties nosūtīt kompetentajai Vācijas Federatīvās Republikas iestādei un </w:t>
      </w:r>
      <w:proofErr w:type="spellStart"/>
      <w:r w:rsidRPr="0020693D">
        <w:rPr>
          <w:i/>
          <w:iCs/>
        </w:rPr>
        <w:t>Siegbert</w:t>
      </w:r>
      <w:proofErr w:type="spellEnd"/>
      <w:r w:rsidRPr="0020693D">
        <w:rPr>
          <w:i/>
          <w:iCs/>
        </w:rPr>
        <w:t xml:space="preserve"> Frank </w:t>
      </w:r>
      <w:proofErr w:type="spellStart"/>
      <w:r w:rsidRPr="0020693D">
        <w:rPr>
          <w:i/>
          <w:iCs/>
        </w:rPr>
        <w:t>Droese</w:t>
      </w:r>
      <w:proofErr w:type="spellEnd"/>
      <w:r w:rsidRPr="0020693D">
        <w:t>.</w:t>
      </w:r>
    </w:p>
    <w:p w14:paraId="4122F4B6" w14:textId="6F6961A0" w:rsidR="00E365E1" w:rsidRPr="0020693D" w:rsidRDefault="00E365E1" w:rsidP="00C34AD9"/>
    <w:sectPr w:rsidR="00E365E1" w:rsidRPr="0020693D" w:rsidSect="00101F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B3FE4" w14:textId="77777777" w:rsidR="00C34AD9" w:rsidRPr="00101F23" w:rsidRDefault="00C34AD9">
      <w:r w:rsidRPr="00101F23">
        <w:separator/>
      </w:r>
    </w:p>
  </w:endnote>
  <w:endnote w:type="continuationSeparator" w:id="0">
    <w:p w14:paraId="4C890EEA" w14:textId="77777777" w:rsidR="00C34AD9" w:rsidRPr="00101F23" w:rsidRDefault="00C34AD9">
      <w:r w:rsidRPr="00101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5729" w14:textId="77777777" w:rsidR="00064002" w:rsidRPr="00101F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55C2" w14:textId="77777777" w:rsidR="00064002" w:rsidRPr="00101F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F0A39" w14:textId="77777777" w:rsidR="00064002" w:rsidRPr="00101F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3C106" w14:textId="77777777" w:rsidR="00C34AD9" w:rsidRPr="00101F23" w:rsidRDefault="00C34AD9">
      <w:r w:rsidRPr="00101F23">
        <w:separator/>
      </w:r>
    </w:p>
  </w:footnote>
  <w:footnote w:type="continuationSeparator" w:id="0">
    <w:p w14:paraId="2F210F33" w14:textId="77777777" w:rsidR="00C34AD9" w:rsidRPr="00101F23" w:rsidRDefault="00C34AD9">
      <w:r w:rsidRPr="00101F23">
        <w:continuationSeparator/>
      </w:r>
    </w:p>
  </w:footnote>
  <w:footnote w:id="1">
    <w:p w14:paraId="386F3774" w14:textId="5E67CE74" w:rsidR="00B84F74" w:rsidRPr="00101F23" w:rsidRDefault="00B84F74" w:rsidP="00101F23">
      <w:pPr>
        <w:pStyle w:val="FootnoteText"/>
        <w:ind w:left="567" w:hanging="567"/>
        <w:rPr>
          <w:sz w:val="24"/>
          <w:lang w:val="lv-LV"/>
        </w:rPr>
      </w:pPr>
      <w:r w:rsidRPr="00101F23">
        <w:rPr>
          <w:rStyle w:val="FootnoteReference"/>
          <w:sz w:val="24"/>
          <w:lang w:val="lv-LV"/>
        </w:rPr>
        <w:footnoteRef/>
      </w:r>
      <w:r w:rsidR="00101F23" w:rsidRPr="00101F23">
        <w:rPr>
          <w:sz w:val="24"/>
          <w:lang w:val="lv-LV"/>
        </w:rPr>
        <w:t xml:space="preserve"> </w:t>
      </w:r>
      <w:r w:rsidR="00101F23" w:rsidRPr="00101F23">
        <w:rPr>
          <w:sz w:val="24"/>
          <w:lang w:val="lv-LV"/>
        </w:rPr>
        <w:tab/>
      </w:r>
      <w:r w:rsidRPr="00101F23">
        <w:rPr>
          <w:sz w:val="24"/>
          <w:lang w:val="lv-LV"/>
        </w:rPr>
        <w:t xml:space="preserve">Tiesas 2008. gada 21. oktobra spriedums, </w:t>
      </w:r>
      <w:proofErr w:type="spellStart"/>
      <w:r w:rsidRPr="00101F23">
        <w:rPr>
          <w:i/>
          <w:iCs/>
          <w:sz w:val="24"/>
          <w:lang w:val="lv-LV"/>
        </w:rPr>
        <w:t>Marra</w:t>
      </w:r>
      <w:proofErr w:type="spellEnd"/>
      <w:r w:rsidRPr="00101F23">
        <w:rPr>
          <w:i/>
          <w:iCs/>
          <w:sz w:val="24"/>
          <w:lang w:val="lv-LV"/>
        </w:rPr>
        <w:t>/</w:t>
      </w:r>
      <w:proofErr w:type="spellStart"/>
      <w:r w:rsidRPr="00101F23">
        <w:rPr>
          <w:i/>
          <w:iCs/>
          <w:sz w:val="24"/>
          <w:lang w:val="lv-LV"/>
        </w:rPr>
        <w:t>De</w:t>
      </w:r>
      <w:proofErr w:type="spellEnd"/>
      <w:r w:rsidRPr="00101F23">
        <w:rPr>
          <w:i/>
          <w:iCs/>
          <w:sz w:val="24"/>
          <w:lang w:val="lv-LV"/>
        </w:rPr>
        <w:t xml:space="preserve"> Gregorio</w:t>
      </w:r>
      <w:r w:rsidRPr="00101F23">
        <w:rPr>
          <w:sz w:val="24"/>
          <w:lang w:val="lv-LV"/>
        </w:rPr>
        <w:t xml:space="preserve"> un </w:t>
      </w:r>
      <w:proofErr w:type="spellStart"/>
      <w:r w:rsidRPr="00101F23">
        <w:rPr>
          <w:i/>
          <w:iCs/>
          <w:sz w:val="24"/>
          <w:lang w:val="lv-LV"/>
        </w:rPr>
        <w:t>Clemente</w:t>
      </w:r>
      <w:proofErr w:type="spellEnd"/>
      <w:r w:rsidRPr="00101F23">
        <w:rPr>
          <w:sz w:val="24"/>
          <w:lang w:val="lv-LV"/>
        </w:rPr>
        <w:t xml:space="preserve">, C-200/07 un C-201/07, ECLI:EU:C:2008:579; Vispārējās tiesas 2010. gada 19. marta spriedums, </w:t>
      </w:r>
      <w:proofErr w:type="spellStart"/>
      <w:r w:rsidRPr="00101F23">
        <w:rPr>
          <w:i/>
          <w:iCs/>
          <w:sz w:val="24"/>
          <w:lang w:val="lv-LV"/>
        </w:rPr>
        <w:t>Gollnisch</w:t>
      </w:r>
      <w:proofErr w:type="spellEnd"/>
      <w:r w:rsidRPr="00101F23">
        <w:rPr>
          <w:sz w:val="24"/>
          <w:lang w:val="lv-LV"/>
        </w:rPr>
        <w:t xml:space="preserve">/Parlaments, T-42/06, ECLI:EU:T:2010:102; Tiesas 2011. gada 6. septembra spriedums, </w:t>
      </w:r>
      <w:proofErr w:type="spellStart"/>
      <w:r w:rsidRPr="00101F23">
        <w:rPr>
          <w:i/>
          <w:iCs/>
          <w:sz w:val="24"/>
          <w:lang w:val="lv-LV"/>
        </w:rPr>
        <w:t>Patriciello</w:t>
      </w:r>
      <w:proofErr w:type="spellEnd"/>
      <w:r w:rsidRPr="00101F23">
        <w:rPr>
          <w:sz w:val="24"/>
          <w:lang w:val="lv-LV"/>
        </w:rPr>
        <w:t xml:space="preserve">, C-163/10, ECLI: EU:C:2011:543; Vispārējās tiesas 2013. gada 17. janvāra spriedums, </w:t>
      </w:r>
      <w:proofErr w:type="spellStart"/>
      <w:r w:rsidRPr="00101F23">
        <w:rPr>
          <w:i/>
          <w:iCs/>
          <w:sz w:val="24"/>
          <w:lang w:val="lv-LV"/>
        </w:rPr>
        <w:t>Gollnisch</w:t>
      </w:r>
      <w:proofErr w:type="spellEnd"/>
      <w:r w:rsidRPr="00101F23">
        <w:rPr>
          <w:sz w:val="24"/>
          <w:lang w:val="lv-LV"/>
        </w:rPr>
        <w:t xml:space="preserve">/Parlaments, T-346/11 un T-347/11, ECLI:EU:T:2013:23; Tiesas 2019. gada 19. decembra spriedums, </w:t>
      </w:r>
      <w:proofErr w:type="spellStart"/>
      <w:r w:rsidRPr="00101F23">
        <w:rPr>
          <w:i/>
          <w:iCs/>
          <w:sz w:val="24"/>
          <w:lang w:val="lv-LV"/>
        </w:rPr>
        <w:t>Junqueras</w:t>
      </w:r>
      <w:proofErr w:type="spellEnd"/>
      <w:r w:rsidRPr="00101F23">
        <w:rPr>
          <w:i/>
          <w:iCs/>
          <w:sz w:val="24"/>
          <w:lang w:val="lv-LV"/>
        </w:rPr>
        <w:t xml:space="preserve"> Vies</w:t>
      </w:r>
      <w:r w:rsidRPr="00101F23">
        <w:rPr>
          <w:sz w:val="24"/>
          <w:lang w:val="lv-LV"/>
        </w:rPr>
        <w:t>, C-502/19, ECLI:EU:C:2019:1115.</w:t>
      </w:r>
    </w:p>
  </w:footnote>
  <w:footnote w:id="2">
    <w:p w14:paraId="1DAF2B71" w14:textId="69FBF405" w:rsidR="00B84F74" w:rsidRPr="00101F23" w:rsidRDefault="00B84F74" w:rsidP="00101F23">
      <w:pPr>
        <w:pStyle w:val="FootnoteText"/>
        <w:ind w:left="567" w:hanging="567"/>
        <w:rPr>
          <w:sz w:val="24"/>
          <w:lang w:val="lv-LV"/>
        </w:rPr>
      </w:pPr>
      <w:r w:rsidRPr="00101F23">
        <w:rPr>
          <w:rStyle w:val="FootnoteReference"/>
          <w:sz w:val="24"/>
          <w:lang w:val="lv-LV"/>
        </w:rPr>
        <w:footnoteRef/>
      </w:r>
      <w:r w:rsidR="00101F23" w:rsidRPr="00101F23">
        <w:rPr>
          <w:sz w:val="24"/>
          <w:lang w:val="lv-LV"/>
        </w:rPr>
        <w:t xml:space="preserve"> </w:t>
      </w:r>
      <w:r w:rsidR="00101F23" w:rsidRPr="00101F23">
        <w:rPr>
          <w:sz w:val="24"/>
          <w:lang w:val="lv-LV"/>
        </w:rPr>
        <w:tab/>
      </w:r>
      <w:r w:rsidRPr="00101F23">
        <w:rPr>
          <w:sz w:val="24"/>
          <w:lang w:val="lv-LV"/>
        </w:rPr>
        <w:t xml:space="preserve">Vispārējās tiesas 2019. gada 30. aprīļa spriedums, </w:t>
      </w:r>
      <w:proofErr w:type="spellStart"/>
      <w:r w:rsidRPr="00101F23">
        <w:rPr>
          <w:i/>
          <w:iCs/>
          <w:sz w:val="24"/>
          <w:lang w:val="lv-LV"/>
        </w:rPr>
        <w:t>Briois</w:t>
      </w:r>
      <w:proofErr w:type="spellEnd"/>
      <w:r w:rsidRPr="00101F23">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802F" w14:textId="77777777" w:rsidR="00064002" w:rsidRPr="00101F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0927" w14:textId="77777777" w:rsidR="00064002" w:rsidRPr="00101F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D5BA" w14:textId="77777777" w:rsidR="00064002" w:rsidRPr="00101F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8177">
    <w:abstractNumId w:val="9"/>
  </w:num>
  <w:num w:numId="2" w16cid:durableId="373237371">
    <w:abstractNumId w:val="9"/>
  </w:num>
  <w:num w:numId="3" w16cid:durableId="1576236060">
    <w:abstractNumId w:val="7"/>
  </w:num>
  <w:num w:numId="4" w16cid:durableId="1297947799">
    <w:abstractNumId w:val="7"/>
  </w:num>
  <w:num w:numId="5" w16cid:durableId="1221092101">
    <w:abstractNumId w:val="6"/>
  </w:num>
  <w:num w:numId="6" w16cid:durableId="1809980647">
    <w:abstractNumId w:val="6"/>
  </w:num>
  <w:num w:numId="7" w16cid:durableId="1705519088">
    <w:abstractNumId w:val="5"/>
  </w:num>
  <w:num w:numId="8" w16cid:durableId="1449853734">
    <w:abstractNumId w:val="5"/>
  </w:num>
  <w:num w:numId="9" w16cid:durableId="928581750">
    <w:abstractNumId w:val="4"/>
  </w:num>
  <w:num w:numId="10" w16cid:durableId="224874349">
    <w:abstractNumId w:val="4"/>
  </w:num>
  <w:num w:numId="11" w16cid:durableId="804395119">
    <w:abstractNumId w:val="8"/>
  </w:num>
  <w:num w:numId="12" w16cid:durableId="2040203918">
    <w:abstractNumId w:val="8"/>
  </w:num>
  <w:num w:numId="13" w16cid:durableId="1948539373">
    <w:abstractNumId w:val="3"/>
  </w:num>
  <w:num w:numId="14" w16cid:durableId="534999965">
    <w:abstractNumId w:val="3"/>
  </w:num>
  <w:num w:numId="15" w16cid:durableId="1031346139">
    <w:abstractNumId w:val="2"/>
  </w:num>
  <w:num w:numId="16" w16cid:durableId="38822484">
    <w:abstractNumId w:val="2"/>
  </w:num>
  <w:num w:numId="17" w16cid:durableId="899633435">
    <w:abstractNumId w:val="1"/>
  </w:num>
  <w:num w:numId="18" w16cid:durableId="634870556">
    <w:abstractNumId w:val="1"/>
  </w:num>
  <w:num w:numId="19" w16cid:durableId="237520618">
    <w:abstractNumId w:val="0"/>
  </w:num>
  <w:num w:numId="20" w16cid:durableId="643003617">
    <w:abstractNumId w:val="0"/>
  </w:num>
  <w:num w:numId="21" w16cid:durableId="808548104">
    <w:abstractNumId w:val="9"/>
  </w:num>
  <w:num w:numId="22" w16cid:durableId="1792242123">
    <w:abstractNumId w:val="7"/>
  </w:num>
  <w:num w:numId="23" w16cid:durableId="204413069">
    <w:abstractNumId w:val="6"/>
  </w:num>
  <w:num w:numId="24" w16cid:durableId="1809589417">
    <w:abstractNumId w:val="5"/>
  </w:num>
  <w:num w:numId="25" w16cid:durableId="322901833">
    <w:abstractNumId w:val="4"/>
  </w:num>
  <w:num w:numId="26" w16cid:durableId="1907455310">
    <w:abstractNumId w:val="8"/>
  </w:num>
  <w:num w:numId="27" w16cid:durableId="354504395">
    <w:abstractNumId w:val="3"/>
  </w:num>
  <w:num w:numId="28" w16cid:durableId="803886359">
    <w:abstractNumId w:val="2"/>
  </w:num>
  <w:num w:numId="29" w16cid:durableId="804006524">
    <w:abstractNumId w:val="1"/>
  </w:num>
  <w:num w:numId="30" w16cid:durableId="1795097705">
    <w:abstractNumId w:val="0"/>
  </w:num>
  <w:num w:numId="31" w16cid:durableId="1503281882">
    <w:abstractNumId w:val="9"/>
  </w:num>
  <w:num w:numId="32" w16cid:durableId="1112281962">
    <w:abstractNumId w:val="7"/>
  </w:num>
  <w:num w:numId="33" w16cid:durableId="1873112234">
    <w:abstractNumId w:val="6"/>
  </w:num>
  <w:num w:numId="34" w16cid:durableId="1687096316">
    <w:abstractNumId w:val="5"/>
  </w:num>
  <w:num w:numId="35" w16cid:durableId="484903579">
    <w:abstractNumId w:val="4"/>
  </w:num>
  <w:num w:numId="36" w16cid:durableId="1094327818">
    <w:abstractNumId w:val="8"/>
  </w:num>
  <w:num w:numId="37" w16cid:durableId="1104500735">
    <w:abstractNumId w:val="3"/>
  </w:num>
  <w:num w:numId="38" w16cid:durableId="960497877">
    <w:abstractNumId w:val="2"/>
  </w:num>
  <w:num w:numId="39" w16cid:durableId="813452821">
    <w:abstractNumId w:val="1"/>
  </w:num>
  <w:num w:numId="40" w16cid:durableId="619185279">
    <w:abstractNumId w:val="0"/>
  </w:num>
  <w:num w:numId="41" w16cid:durableId="1647010377">
    <w:abstractNumId w:val="10"/>
  </w:num>
  <w:num w:numId="42" w16cid:durableId="102655738">
    <w:abstractNumId w:val="10"/>
  </w:num>
  <w:num w:numId="43" w16cid:durableId="1611082072">
    <w:abstractNumId w:val="10"/>
  </w:num>
  <w:num w:numId="44" w16cid:durableId="1849757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LV"/>
    <w:docVar w:name="dvnumam" w:val="0"/>
    <w:docVar w:name="dvpe" w:val="789.054"/>
    <w:docVar w:name="dvrapporteur" w:val="Referents: "/>
    <w:docVar w:name="dvtitre" w:val="Eiropas Parlamenta 2026. gada XX. XXX lēmums par pieprasījumu atcelt Siegbert Frank Droese imunitāti(2026/2019(IMM))"/>
  </w:docVars>
  <w:rsids>
    <w:rsidRoot w:val="00C34AD9"/>
    <w:rsid w:val="00002272"/>
    <w:rsid w:val="00064002"/>
    <w:rsid w:val="000677B9"/>
    <w:rsid w:val="000831BA"/>
    <w:rsid w:val="000A42CC"/>
    <w:rsid w:val="000E7DD9"/>
    <w:rsid w:val="0010095E"/>
    <w:rsid w:val="00101F23"/>
    <w:rsid w:val="00125B37"/>
    <w:rsid w:val="00187494"/>
    <w:rsid w:val="001F32AE"/>
    <w:rsid w:val="0020693D"/>
    <w:rsid w:val="002767FF"/>
    <w:rsid w:val="002B18FE"/>
    <w:rsid w:val="002B5493"/>
    <w:rsid w:val="002C23B0"/>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82B7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17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F74"/>
    <w:rsid w:val="00BD48FE"/>
    <w:rsid w:val="00BD7BD8"/>
    <w:rsid w:val="00BE6ADC"/>
    <w:rsid w:val="00C05BFE"/>
    <w:rsid w:val="00C23CD4"/>
    <w:rsid w:val="00C34AD9"/>
    <w:rsid w:val="00C61C0C"/>
    <w:rsid w:val="00C84FF4"/>
    <w:rsid w:val="00C941CB"/>
    <w:rsid w:val="00CC2357"/>
    <w:rsid w:val="00CF071A"/>
    <w:rsid w:val="00D058B8"/>
    <w:rsid w:val="00D56C11"/>
    <w:rsid w:val="00D834A0"/>
    <w:rsid w:val="00D872DF"/>
    <w:rsid w:val="00D91E21"/>
    <w:rsid w:val="00D97CF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B42BA"/>
  <w15:chartTrackingRefBased/>
  <w15:docId w15:val="{E5F90C3D-38A5-4809-B9A9-A2B65066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84F74"/>
    <w:rPr>
      <w:b/>
    </w:rPr>
  </w:style>
  <w:style w:type="paragraph" w:customStyle="1" w:styleId="NormalHanging12a">
    <w:name w:val="NormalHanging12a"/>
    <w:basedOn w:val="Normal"/>
    <w:rsid w:val="00B84F74"/>
    <w:pPr>
      <w:spacing w:after="240"/>
      <w:ind w:left="567" w:hanging="567"/>
    </w:pPr>
  </w:style>
  <w:style w:type="paragraph" w:customStyle="1" w:styleId="EPComma">
    <w:name w:val="EPComma"/>
    <w:basedOn w:val="Normal"/>
    <w:rsid w:val="00B84F74"/>
    <w:pPr>
      <w:spacing w:before="480" w:after="240"/>
    </w:pPr>
  </w:style>
  <w:style w:type="paragraph" w:styleId="Revision">
    <w:name w:val="Revision"/>
    <w:hidden/>
    <w:uiPriority w:val="99"/>
    <w:semiHidden/>
    <w:rsid w:val="00880175"/>
    <w:rPr>
      <w:sz w:val="24"/>
      <w:lang w:val="lv-LV"/>
    </w:rPr>
  </w:style>
  <w:style w:type="character" w:styleId="CommentReference">
    <w:name w:val="annotation reference"/>
    <w:basedOn w:val="DefaultParagraphFont"/>
    <w:rsid w:val="00582B7F"/>
    <w:rPr>
      <w:sz w:val="16"/>
      <w:szCs w:val="16"/>
    </w:rPr>
  </w:style>
  <w:style w:type="paragraph" w:styleId="CommentText">
    <w:name w:val="annotation text"/>
    <w:basedOn w:val="Normal"/>
    <w:link w:val="CommentTextChar"/>
    <w:rsid w:val="00582B7F"/>
    <w:rPr>
      <w:sz w:val="20"/>
    </w:rPr>
  </w:style>
  <w:style w:type="character" w:customStyle="1" w:styleId="CommentTextChar">
    <w:name w:val="Comment Text Char"/>
    <w:basedOn w:val="DefaultParagraphFont"/>
    <w:link w:val="CommentText"/>
    <w:rsid w:val="00582B7F"/>
    <w:rPr>
      <w:lang w:val="lv-LV"/>
    </w:rPr>
  </w:style>
  <w:style w:type="paragraph" w:styleId="CommentSubject">
    <w:name w:val="annotation subject"/>
    <w:basedOn w:val="CommentText"/>
    <w:next w:val="CommentText"/>
    <w:link w:val="CommentSubjectChar"/>
    <w:rsid w:val="00582B7F"/>
    <w:rPr>
      <w:b/>
      <w:bCs/>
    </w:rPr>
  </w:style>
  <w:style w:type="character" w:customStyle="1" w:styleId="CommentSubjectChar">
    <w:name w:val="Comment Subject Char"/>
    <w:basedOn w:val="CommentTextChar"/>
    <w:link w:val="CommentSubject"/>
    <w:rsid w:val="00582B7F"/>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4359</Characters>
  <Application>Microsoft Office Word</Application>
  <DocSecurity>0</DocSecurity>
  <Lines>75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2026-07-07T09:40:00Z</dcterms:created>
  <dcterms:modified xsi:type="dcterms:W3CDTF">2026-07-07T09:40:00Z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A10-0193/2026</vt:lpwstr>
  </property>
  <property fmtid="{D5CDD505-2E9C-101B-9397-08002B2CF9AE}" pid="4" name="&lt;Type&gt;">
    <vt:lpwstr>RR</vt:lpwstr>
  </property>
</Properties>
</file>