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4811" w14:paraId="2E7D86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02B3EA" w14:textId="77777777" w:rsidR="00751A4A" w:rsidRPr="003C4811" w:rsidRDefault="00252BF0" w:rsidP="0010095E">
            <w:pPr>
              <w:pStyle w:val="EPName"/>
            </w:pPr>
            <w:r w:rsidRPr="003C4811">
              <w:t>Parlament Ewropew</w:t>
            </w:r>
          </w:p>
          <w:p w14:paraId="4ABCF8E4" w14:textId="77777777" w:rsidR="00751A4A" w:rsidRPr="003C48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4811">
              <w:t>2024</w:t>
            </w:r>
            <w:r w:rsidR="00817416" w:rsidRPr="003C4811">
              <w:t>-202</w:t>
            </w:r>
            <w:r w:rsidRPr="003C4811">
              <w:t>9</w:t>
            </w:r>
          </w:p>
        </w:tc>
        <w:tc>
          <w:tcPr>
            <w:tcW w:w="2268" w:type="dxa"/>
            <w:shd w:val="clear" w:color="auto" w:fill="auto"/>
          </w:tcPr>
          <w:p w14:paraId="4EA51759" w14:textId="77777777" w:rsidR="00751A4A" w:rsidRPr="003C4811" w:rsidRDefault="00187494" w:rsidP="0010095E">
            <w:pPr>
              <w:pStyle w:val="EPLogo"/>
            </w:pPr>
            <w:r w:rsidRPr="003C4811">
              <w:rPr>
                <w:noProof/>
                <w:lang w:eastAsia="ja-JP"/>
              </w:rPr>
              <w:drawing>
                <wp:inline distT="0" distB="0" distL="0" distR="0" wp14:anchorId="3987D02A" wp14:editId="2A49B6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AFEFE7" w14:textId="77777777" w:rsidR="00D058B8" w:rsidRPr="003C4811" w:rsidRDefault="00D058B8" w:rsidP="004C5D52">
      <w:pPr>
        <w:pStyle w:val="LineTop"/>
      </w:pPr>
    </w:p>
    <w:p w14:paraId="1893248C" w14:textId="77777777" w:rsidR="00680577" w:rsidRPr="003C4811" w:rsidRDefault="00252BF0" w:rsidP="00680577">
      <w:pPr>
        <w:pStyle w:val="EPBodyTA1"/>
      </w:pPr>
      <w:r w:rsidRPr="003C4811">
        <w:t>TESTI ADOTTATI</w:t>
      </w:r>
    </w:p>
    <w:p w14:paraId="5FEDC81A" w14:textId="77777777" w:rsidR="00D058B8" w:rsidRPr="003C4811" w:rsidRDefault="00D058B8" w:rsidP="00D058B8">
      <w:pPr>
        <w:pStyle w:val="LineBottom"/>
      </w:pPr>
    </w:p>
    <w:p w14:paraId="402284F5" w14:textId="68774882" w:rsidR="00252BF0" w:rsidRPr="003C4811" w:rsidRDefault="00252BF0" w:rsidP="00252BF0">
      <w:pPr>
        <w:pStyle w:val="ATHeading1"/>
      </w:pPr>
      <w:bookmarkStart w:id="0" w:name="TANumber"/>
      <w:r w:rsidRPr="003C4811">
        <w:t>P10_TA(2026)0</w:t>
      </w:r>
      <w:r w:rsidR="00DC7B85">
        <w:t>236</w:t>
      </w:r>
      <w:bookmarkEnd w:id="0"/>
    </w:p>
    <w:p w14:paraId="075379FB" w14:textId="77777777" w:rsidR="00252BF0" w:rsidRPr="003C4811" w:rsidRDefault="00252BF0" w:rsidP="00252BF0">
      <w:pPr>
        <w:pStyle w:val="ATHeading2"/>
      </w:pPr>
      <w:bookmarkStart w:id="1" w:name="title"/>
      <w:r w:rsidRPr="003C4811">
        <w:t xml:space="preserve">Talba għat-tneħħija tal-immunità ta’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bookmarkEnd w:id="1"/>
      <w:proofErr w:type="spellEnd"/>
    </w:p>
    <w:p w14:paraId="287B56E5" w14:textId="77777777" w:rsidR="00252BF0" w:rsidRPr="003C4811" w:rsidRDefault="00252BF0" w:rsidP="00252BF0">
      <w:pPr>
        <w:rPr>
          <w:i/>
          <w:vanish/>
        </w:rPr>
      </w:pPr>
      <w:r w:rsidRPr="003C4811">
        <w:rPr>
          <w:i/>
        </w:rPr>
        <w:fldChar w:fldCharType="begin"/>
      </w:r>
      <w:r w:rsidRPr="003C4811">
        <w:rPr>
          <w:i/>
        </w:rPr>
        <w:instrText xml:space="preserve"> TC"(</w:instrText>
      </w:r>
      <w:bookmarkStart w:id="2" w:name="DocNumber"/>
      <w:r w:rsidRPr="003C4811">
        <w:rPr>
          <w:i/>
        </w:rPr>
        <w:instrText>A10-0193/2026</w:instrText>
      </w:r>
      <w:bookmarkEnd w:id="2"/>
      <w:r w:rsidRPr="003C4811">
        <w:rPr>
          <w:i/>
        </w:rPr>
        <w:instrText xml:space="preserve"> - </w:instrText>
      </w:r>
      <w:proofErr w:type="spellStart"/>
      <w:r w:rsidRPr="003C4811">
        <w:rPr>
          <w:i/>
        </w:rPr>
        <w:instrText>Rapporteur</w:instrText>
      </w:r>
      <w:proofErr w:type="spellEnd"/>
      <w:r w:rsidRPr="003C4811">
        <w:rPr>
          <w:i/>
        </w:rPr>
        <w:instrText xml:space="preserve">: </w:instrText>
      </w:r>
      <w:proofErr w:type="spellStart"/>
      <w:r w:rsidRPr="003C4811">
        <w:rPr>
          <w:i/>
        </w:rPr>
        <w:instrText>Adrián</w:instrText>
      </w:r>
      <w:proofErr w:type="spellEnd"/>
      <w:r w:rsidRPr="003C4811">
        <w:rPr>
          <w:i/>
        </w:rPr>
        <w:instrText xml:space="preserve"> </w:instrText>
      </w:r>
      <w:proofErr w:type="spellStart"/>
      <w:r w:rsidRPr="003C4811">
        <w:rPr>
          <w:i/>
        </w:rPr>
        <w:instrText>Vázquez</w:instrText>
      </w:r>
      <w:proofErr w:type="spellEnd"/>
      <w:r w:rsidRPr="003C4811">
        <w:rPr>
          <w:i/>
        </w:rPr>
        <w:instrText xml:space="preserve"> </w:instrText>
      </w:r>
      <w:proofErr w:type="spellStart"/>
      <w:r w:rsidRPr="003C4811">
        <w:rPr>
          <w:i/>
        </w:rPr>
        <w:instrText>Lázara</w:instrText>
      </w:r>
      <w:proofErr w:type="spellEnd"/>
      <w:r w:rsidRPr="003C4811">
        <w:rPr>
          <w:i/>
        </w:rPr>
        <w:instrText xml:space="preserve">)"\l3 \n&gt; \* MERGEFORMAT </w:instrText>
      </w:r>
      <w:r w:rsidRPr="003C4811">
        <w:rPr>
          <w:i/>
        </w:rPr>
        <w:fldChar w:fldCharType="end"/>
      </w:r>
    </w:p>
    <w:p w14:paraId="1EC15853" w14:textId="77777777" w:rsidR="00252BF0" w:rsidRPr="003C4811" w:rsidRDefault="00252BF0" w:rsidP="00252BF0">
      <w:pPr>
        <w:rPr>
          <w:vanish/>
        </w:rPr>
      </w:pPr>
      <w:bookmarkStart w:id="3" w:name="Commission"/>
      <w:r w:rsidRPr="003C4811">
        <w:rPr>
          <w:vanish/>
        </w:rPr>
        <w:t>Kumitat għall-Affarijiet Legali</w:t>
      </w:r>
      <w:bookmarkEnd w:id="3"/>
    </w:p>
    <w:p w14:paraId="7A66266A" w14:textId="77777777" w:rsidR="00252BF0" w:rsidRPr="003C4811" w:rsidRDefault="00252BF0" w:rsidP="00252BF0">
      <w:pPr>
        <w:rPr>
          <w:vanish/>
        </w:rPr>
      </w:pPr>
      <w:bookmarkStart w:id="4" w:name="PE"/>
      <w:r w:rsidRPr="003C4811">
        <w:rPr>
          <w:vanish/>
        </w:rPr>
        <w:t>PE789.054</w:t>
      </w:r>
      <w:bookmarkEnd w:id="4"/>
    </w:p>
    <w:p w14:paraId="1C20ABB1" w14:textId="2EF375C8" w:rsidR="00252BF0" w:rsidRPr="003C4811" w:rsidRDefault="00252BF0" w:rsidP="009B30B8">
      <w:pPr>
        <w:pStyle w:val="ATHeading3"/>
      </w:pPr>
      <w:bookmarkStart w:id="5" w:name="Sujet"/>
      <w:r w:rsidRPr="003C4811">
        <w:t xml:space="preserve">Deċiżjoni tal-Parlament Ewropew </w:t>
      </w:r>
      <w:r w:rsidR="009B30B8">
        <w:t>tas-7 ta’ Lulju</w:t>
      </w:r>
      <w:r w:rsidRPr="003C4811">
        <w:t xml:space="preserve"> 2026 dwar it-talba għat-tneħħija tal-immunità ta’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bookmarkEnd w:id="5"/>
      <w:proofErr w:type="spellEnd"/>
      <w:r w:rsidRPr="003C4811">
        <w:t xml:space="preserve"> </w:t>
      </w:r>
      <w:bookmarkStart w:id="6" w:name="References"/>
      <w:r w:rsidRPr="003C4811">
        <w:t>(2026/2019(IMM))</w:t>
      </w:r>
      <w:bookmarkEnd w:id="6"/>
    </w:p>
    <w:p w14:paraId="3DC7D0A0" w14:textId="77777777" w:rsidR="00571698" w:rsidRPr="003C4811" w:rsidRDefault="00571698" w:rsidP="00571698">
      <w:pPr>
        <w:pStyle w:val="EPComma"/>
      </w:pPr>
      <w:bookmarkStart w:id="7" w:name="TextBodyBegin"/>
      <w:bookmarkEnd w:id="7"/>
      <w:r w:rsidRPr="003C4811">
        <w:rPr>
          <w:i/>
        </w:rPr>
        <w:t>Il-Parlament Ewropew</w:t>
      </w:r>
      <w:r w:rsidRPr="003C4811">
        <w:t>,</w:t>
      </w:r>
    </w:p>
    <w:p w14:paraId="359B69BC" w14:textId="3833F1CA" w:rsidR="00571698" w:rsidRPr="003C4811" w:rsidRDefault="00571698" w:rsidP="00571698">
      <w:pPr>
        <w:pStyle w:val="NormalHanging12a"/>
      </w:pPr>
      <w:r w:rsidRPr="003C4811">
        <w:t>–</w:t>
      </w:r>
      <w:r w:rsidRPr="003C4811">
        <w:tab/>
        <w:t xml:space="preserve">wara li kkunsidra t-talba għat-tneħħija tal-immunità ta’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, li waslet permezz ta’ ittra tal-15 ta’ Jannar 2026 mill-Ministeru Federali Ġermaniż għall-Ġustizzja u l-Protezzjoni tal-Konsumatur, li bagħat talba tat-2 ta’ Diċembru 2025 mill-Qorti Reġjonali </w:t>
      </w:r>
      <w:r w:rsidR="001F52DE">
        <w:t xml:space="preserve">ta’ </w:t>
      </w:r>
      <w:r w:rsidRPr="003C4811">
        <w:t>Dresden, u mħabbra fis-seduta plenarja fil-11 ta’ Frar 2026,</w:t>
      </w:r>
    </w:p>
    <w:p w14:paraId="26342272" w14:textId="77777777" w:rsidR="00571698" w:rsidRPr="003C4811" w:rsidRDefault="00571698" w:rsidP="00571698">
      <w:pPr>
        <w:pStyle w:val="NormalHanging12a"/>
      </w:pPr>
      <w:r w:rsidRPr="003C4811">
        <w:t>–</w:t>
      </w:r>
      <w:r w:rsidRPr="003C4811">
        <w:tab/>
        <w:t xml:space="preserve">wara li </w:t>
      </w:r>
      <w:proofErr w:type="spellStart"/>
      <w:r w:rsidRPr="003C4811">
        <w:t>kkunsidra</w:t>
      </w:r>
      <w:proofErr w:type="spellEnd"/>
      <w:r w:rsidRPr="003C4811">
        <w:t xml:space="preserve"> l-fatt li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 </w:t>
      </w:r>
      <w:proofErr w:type="spellStart"/>
      <w:r w:rsidRPr="003C4811">
        <w:t>rrinunzja</w:t>
      </w:r>
      <w:proofErr w:type="spellEnd"/>
      <w:r w:rsidRPr="003C4811">
        <w:t xml:space="preserve"> għad-dritt tiegħu li jinstema’, skont l-Artikolu 9(6) tar-Regoli ta’ Proċedura tiegħu, </w:t>
      </w:r>
    </w:p>
    <w:p w14:paraId="391A3E64" w14:textId="77777777" w:rsidR="00571698" w:rsidRPr="003C4811" w:rsidRDefault="00571698" w:rsidP="00571698">
      <w:pPr>
        <w:pStyle w:val="NormalHanging12a"/>
      </w:pPr>
      <w:r w:rsidRPr="003C4811">
        <w:t>–</w:t>
      </w:r>
      <w:r w:rsidRPr="003C4811">
        <w:tab/>
        <w:t>wara li kkunsidra l-Artikolu 9 tal-Protokoll Nru 7 dwar il-Privileġġi u l-Immunitajiet tal-Unjoni Ewropea kif ukoll l-Artikolu 6(2) tal-Att tal-20 ta’ Settembru 1976 dwar l-elezzjoni tal-Membri tal-Parlament Ewropew b’vot dirett universali,</w:t>
      </w:r>
    </w:p>
    <w:p w14:paraId="3ED8470A" w14:textId="77777777" w:rsidR="00571698" w:rsidRPr="003C4811" w:rsidRDefault="00571698" w:rsidP="00571698">
      <w:pPr>
        <w:pStyle w:val="NormalHanging12a"/>
      </w:pPr>
      <w:r w:rsidRPr="003C4811">
        <w:t>–</w:t>
      </w:r>
      <w:r w:rsidRPr="003C4811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3C4811">
        <w:rPr>
          <w:rStyle w:val="FootnoteReference"/>
        </w:rPr>
        <w:footnoteReference w:id="1"/>
      </w:r>
      <w:r w:rsidRPr="003C4811">
        <w:t>,</w:t>
      </w:r>
    </w:p>
    <w:p w14:paraId="0A2A13C4" w14:textId="77777777" w:rsidR="00571698" w:rsidRPr="003C4811" w:rsidRDefault="00571698" w:rsidP="00571698">
      <w:pPr>
        <w:pStyle w:val="NormalHanging12a"/>
      </w:pPr>
      <w:r w:rsidRPr="003C4811">
        <w:t>–</w:t>
      </w:r>
      <w:r w:rsidRPr="003C4811">
        <w:tab/>
        <w:t xml:space="preserve">wara li kkunsidra l-Artikolu 46 tal-Liġi Bażika tar-Repubblika Federali tal-Ġermanja, </w:t>
      </w:r>
    </w:p>
    <w:p w14:paraId="0B450479" w14:textId="77777777" w:rsidR="00571698" w:rsidRPr="003C4811" w:rsidRDefault="00571698" w:rsidP="00571698">
      <w:pPr>
        <w:pStyle w:val="NormalHanging12a"/>
      </w:pPr>
      <w:r w:rsidRPr="003C4811">
        <w:t>–</w:t>
      </w:r>
      <w:r w:rsidRPr="003C4811">
        <w:tab/>
        <w:t>wara li kkunsidra l-Artikolu 5(2), l-Artikolu 6(1) u l-Artikolu 9 tar-Regoli ta’ Proċedura tiegħu,</w:t>
      </w:r>
    </w:p>
    <w:p w14:paraId="71C94742" w14:textId="77777777" w:rsidR="00571698" w:rsidRPr="003C4811" w:rsidRDefault="00571698" w:rsidP="00571698">
      <w:pPr>
        <w:pStyle w:val="NormalHanging12a"/>
      </w:pPr>
      <w:r w:rsidRPr="003C4811">
        <w:lastRenderedPageBreak/>
        <w:t>–</w:t>
      </w:r>
      <w:r w:rsidRPr="003C4811">
        <w:tab/>
        <w:t>wara li kkunsidra r-rapport tal-Kumitat għall-Affarijiet Legali (A10-0193/2026),</w:t>
      </w:r>
    </w:p>
    <w:p w14:paraId="51BF9CBF" w14:textId="57E4DABC" w:rsidR="00571698" w:rsidRPr="003C4811" w:rsidRDefault="00571698" w:rsidP="00571698">
      <w:pPr>
        <w:pStyle w:val="NormalHanging12a"/>
      </w:pPr>
      <w:r w:rsidRPr="003C4811">
        <w:t>A.</w:t>
      </w:r>
      <w:r w:rsidRPr="003C4811">
        <w:tab/>
        <w:t xml:space="preserve">billi fil-15 ta’ Jannar 2026 il-Ministeru Federali Ġermaniż għall-Ġustizzja u l-Protezzjoni tal-Konsumatur bagħat talba mill-Qorti Reġjonali </w:t>
      </w:r>
      <w:r w:rsidR="001F52DE">
        <w:t xml:space="preserve">ta’ </w:t>
      </w:r>
      <w:r w:rsidRPr="003C4811">
        <w:t xml:space="preserve">Dresden għat-tneħħija tal-immunità ta’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>, Membru tal-Parlament Ewropew elett fil-Ġermanja, b’rabta ma’ appell ippreżentat minnu fi proċedimenti kriminali;</w:t>
      </w:r>
    </w:p>
    <w:p w14:paraId="3EED2946" w14:textId="77777777" w:rsidR="00571698" w:rsidRPr="003C4811" w:rsidRDefault="00571698" w:rsidP="00571698">
      <w:pPr>
        <w:pStyle w:val="NormalHanging12a"/>
      </w:pPr>
      <w:r w:rsidRPr="003C4811">
        <w:t>B.</w:t>
      </w:r>
      <w:r w:rsidRPr="003C4811">
        <w:tab/>
        <w:t xml:space="preserve">billi, permezz ta’ sentenza tal-Qorti Lokali ta’ Dresden tas-26 ta’ April 2024,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 nstab ħati ta’ żewġ atti separati ta’ insult u ġie ordnat iħallas multa; billi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 ppreżenta appell kontra din is-sentenza permezz ta’ sottomissjoni bil-miktub mill-avukat difensur tiegħu fit-3 ta’ Mejju 2024; </w:t>
      </w:r>
    </w:p>
    <w:p w14:paraId="2B552CC3" w14:textId="7D43E891" w:rsidR="00571698" w:rsidRPr="003C4811" w:rsidRDefault="00571698" w:rsidP="00571698">
      <w:pPr>
        <w:pStyle w:val="NormalHanging12a"/>
      </w:pPr>
      <w:r w:rsidRPr="003C4811">
        <w:t>C.</w:t>
      </w:r>
      <w:r w:rsidRPr="003C4811">
        <w:tab/>
        <w:t xml:space="preserve">billi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 ġie elett fil-Parlament Ewropew fl-elezzjonijiet Ewropej ta’ Ġunju 2024; billi ma kienx Membru tal-Parlament Ewropew fiż-żmien tal-kundanna permezz ta’ sentenza tal-Qorti Lokali ta’ Dresden tas-26 ta’ April 2024, u lanqas fiż-żmien meta ppreżenta appell kontriha; billi, wara l-elezzjoni ta’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 fil-Parlament Ewropew u skont it-talba</w:t>
      </w:r>
      <w:r w:rsidR="001F52DE">
        <w:t xml:space="preserve"> mill-Qorti Reġjonali ta’ Dresden</w:t>
      </w:r>
      <w:r w:rsidRPr="003C4811">
        <w:t xml:space="preserve">, biex il-proċedimenti tal-appell ikunu jistgħu jitwettqu, jeħtieġ li l-immunità ta’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 titneħħa;</w:t>
      </w:r>
    </w:p>
    <w:p w14:paraId="7DA2EF81" w14:textId="77777777" w:rsidR="00571698" w:rsidRPr="003C4811" w:rsidRDefault="00571698" w:rsidP="00571698">
      <w:pPr>
        <w:pStyle w:val="NormalHanging12a"/>
      </w:pPr>
      <w:bookmarkStart w:id="8" w:name="_Hlk232522246"/>
      <w:r w:rsidRPr="003C4811">
        <w:t>D.</w:t>
      </w:r>
      <w:r w:rsidRPr="003C4811">
        <w:tab/>
        <w:t xml:space="preserve">billi l-atti li fuqhom huma bbażati l-allegati reati seħħew qabel ma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 xml:space="preserve"> sar Membru tal-Parlament Ewropew u għalhekk, ma </w:t>
      </w:r>
      <w:proofErr w:type="spellStart"/>
      <w:r w:rsidRPr="003C4811">
        <w:t>jikkostitwux</w:t>
      </w:r>
      <w:proofErr w:type="spellEnd"/>
      <w:r w:rsidRPr="003C4811">
        <w:t xml:space="preserve"> opinjoni espressa jew vot mitfugħ minnu fil-qadi ta’ dmirijietu skont it-tifsira tal-Artikolu 8 tal-Protokoll Nru 7 dwar il-Privileġġi u l-Immunitajiet tal-Unjoni Ewropea, u t-talba sussegwenti għat-tneħħija tal-immunità tiegħu mhijiex relatata magħhom;</w:t>
      </w:r>
    </w:p>
    <w:bookmarkEnd w:id="8"/>
    <w:p w14:paraId="6ECB30AE" w14:textId="77777777" w:rsidR="00571698" w:rsidRPr="003C4811" w:rsidRDefault="00571698" w:rsidP="00571698">
      <w:pPr>
        <w:pStyle w:val="NormalHanging12a"/>
      </w:pPr>
      <w:r w:rsidRPr="003C4811">
        <w:t>E.</w:t>
      </w:r>
      <w:r w:rsidRPr="003C4811">
        <w:tab/>
        <w:t>billi l-Artikolu 9, l-ewwel paragrafu, il-punt (a), tal-Protokoll Nru 7 dwar il-Privileġġi u l-Immunitajiet tal-Unjoni Ewropea jipprevedi li, waqt is-sessjonijiet tal-Parlament Ewropew, il-Membri tal-Parlament Ewropew għandhom igawdu, fit-territorju tal-Istat Membru tagħhom stess, l-immunitajiet mogħtija lill-membri tal-parlament tal-Istat Membru tagħhom;</w:t>
      </w:r>
    </w:p>
    <w:p w14:paraId="04177721" w14:textId="77777777" w:rsidR="00571698" w:rsidRPr="003C4811" w:rsidRDefault="00571698" w:rsidP="00571698">
      <w:pPr>
        <w:pStyle w:val="NormalHanging12a"/>
      </w:pPr>
      <w:r w:rsidRPr="003C4811">
        <w:t>F.</w:t>
      </w:r>
      <w:r w:rsidRPr="003C4811">
        <w:tab/>
        <w:t>billi l-Artikolu 46(2), (3) u (4) tal-Liġi Bażika tar-Repubblika Federali tal-Ġermanja jipprevedi dan li ġej:</w:t>
      </w:r>
    </w:p>
    <w:p w14:paraId="1341E078" w14:textId="77777777" w:rsidR="00571698" w:rsidRPr="003C4811" w:rsidRDefault="00571698" w:rsidP="00571698">
      <w:pPr>
        <w:pStyle w:val="NormalHanging12a"/>
        <w:ind w:left="1134"/>
      </w:pPr>
      <w:r w:rsidRPr="003C4811">
        <w:t>“(2)</w:t>
      </w:r>
      <w:r w:rsidRPr="003C4811">
        <w:tab/>
        <w:t xml:space="preserve">Membru ma jistax jinżamm responsabbli jew inkella jiġi arrestat għal reat </w:t>
      </w:r>
      <w:proofErr w:type="spellStart"/>
      <w:r w:rsidRPr="003C4811">
        <w:t>kastigabbli</w:t>
      </w:r>
      <w:proofErr w:type="spellEnd"/>
      <w:r w:rsidRPr="003C4811">
        <w:t xml:space="preserve"> mingħajr l-awtorizzazzjoni tal-Bundestag, sakemm ma jinqabadx </w:t>
      </w:r>
      <w:proofErr w:type="spellStart"/>
      <w:r w:rsidRPr="003C4811">
        <w:rPr>
          <w:i/>
          <w:iCs/>
        </w:rPr>
        <w:t>in</w:t>
      </w:r>
      <w:proofErr w:type="spellEnd"/>
      <w:r w:rsidRPr="003C4811">
        <w:rPr>
          <w:i/>
          <w:iCs/>
        </w:rPr>
        <w:t xml:space="preserve"> </w:t>
      </w:r>
      <w:proofErr w:type="spellStart"/>
      <w:r w:rsidRPr="003C4811">
        <w:rPr>
          <w:i/>
          <w:iCs/>
        </w:rPr>
        <w:t>flagrante</w:t>
      </w:r>
      <w:proofErr w:type="spellEnd"/>
      <w:r w:rsidRPr="003C4811">
        <w:rPr>
          <w:i/>
          <w:iCs/>
        </w:rPr>
        <w:t xml:space="preserve"> </w:t>
      </w:r>
      <w:proofErr w:type="spellStart"/>
      <w:r w:rsidRPr="003C4811">
        <w:rPr>
          <w:i/>
          <w:iCs/>
        </w:rPr>
        <w:t>delicto</w:t>
      </w:r>
      <w:proofErr w:type="spellEnd"/>
      <w:r w:rsidRPr="003C4811">
        <w:t xml:space="preserve"> jew inkella l-għada tat-twettiq tar-reat.</w:t>
      </w:r>
    </w:p>
    <w:p w14:paraId="614D06E7" w14:textId="77777777" w:rsidR="00571698" w:rsidRPr="003C4811" w:rsidRDefault="00571698" w:rsidP="00571698">
      <w:pPr>
        <w:pStyle w:val="NormalHanging12a"/>
        <w:ind w:left="1134"/>
      </w:pPr>
      <w:r w:rsidRPr="003C4811">
        <w:t>(3)</w:t>
      </w:r>
      <w:r w:rsidRPr="003C4811">
        <w:tab/>
        <w:t>L-awtorizzazzjoni tal-Bundestag hija meħtieġa wkoll għal kwalunkwe restrizzjoni oħra tal-libertà tal-persuna ta’ Membru jew biex jinbdew proċedimenti kontra Membru fis-sens tal-Artikolu 18.</w:t>
      </w:r>
    </w:p>
    <w:p w14:paraId="630EA54E" w14:textId="77777777" w:rsidR="00571698" w:rsidRPr="003C4811" w:rsidRDefault="00571698" w:rsidP="00571698">
      <w:pPr>
        <w:pStyle w:val="NormalHanging12a"/>
        <w:ind w:left="1134"/>
      </w:pPr>
      <w:r w:rsidRPr="003C4811">
        <w:t>(4)</w:t>
      </w:r>
      <w:r w:rsidRPr="003C4811">
        <w:tab/>
        <w:t xml:space="preserve">Kwalunkwe </w:t>
      </w:r>
      <w:proofErr w:type="spellStart"/>
      <w:r w:rsidRPr="003C4811">
        <w:t>proċediment</w:t>
      </w:r>
      <w:proofErr w:type="spellEnd"/>
      <w:r w:rsidRPr="003C4811">
        <w:t xml:space="preserve"> kriminali jew </w:t>
      </w:r>
      <w:proofErr w:type="spellStart"/>
      <w:r w:rsidRPr="003C4811">
        <w:t>proċediment</w:t>
      </w:r>
      <w:proofErr w:type="spellEnd"/>
      <w:r w:rsidRPr="003C4811">
        <w:t xml:space="preserve"> fis-sens tal-Artikolu 18 kontra Membru, kwalunkwe detenzjoni u kwalunkwe restrizzjoni oħra tal-libertà tal-persuna tiegħu għandhom jiġu sospiżi fuq talba tal-Bundestag.”;</w:t>
      </w:r>
    </w:p>
    <w:p w14:paraId="43E895ED" w14:textId="77777777" w:rsidR="00571698" w:rsidRPr="003C4811" w:rsidRDefault="00571698" w:rsidP="00571698">
      <w:pPr>
        <w:pStyle w:val="NormalHanging12a"/>
      </w:pPr>
      <w:r w:rsidRPr="003C4811">
        <w:t>G.</w:t>
      </w:r>
      <w:r w:rsidRPr="003C4811">
        <w:tab/>
      </w:r>
      <w:bookmarkStart w:id="9" w:name="_Hlk210920707"/>
      <w:r w:rsidRPr="003C4811">
        <w:t>billi l-għan tal-immunità prevista fil-Protokoll Nru 7 dwar il-Privileġġi u l-Immunitajiet tal-Unjoni Ewropea huwa li tipproteġi lill-Parlament u lill-Membri tiegħu minn proċeduri legali fir-rigward ta’ attivitajiet imwettqa fil-qadi tad-dmirijiet parlamentari u li huma inseparabbli minn dawk id-dmirijiet;</w:t>
      </w:r>
      <w:bookmarkEnd w:id="9"/>
    </w:p>
    <w:p w14:paraId="4CCC70DA" w14:textId="77777777" w:rsidR="00571698" w:rsidRPr="003C4811" w:rsidRDefault="00571698" w:rsidP="00571698">
      <w:pPr>
        <w:pStyle w:val="NormalHanging12a"/>
      </w:pPr>
      <w:r w:rsidRPr="003C4811">
        <w:lastRenderedPageBreak/>
        <w:t>H.</w:t>
      </w:r>
      <w:r w:rsidRPr="003C4811">
        <w:tab/>
        <w:t xml:space="preserve">billi, skont l-Artikolu 5(2) tar-Regoli ta’ Proċedura, l-immunità parlamentari mhix privileġġ personali ta’ Membru imma garanzija tal-indipendenza tal-Parlament kollu kemm hu u tal-Membri tiegħu; </w:t>
      </w:r>
    </w:p>
    <w:p w14:paraId="5A12272C" w14:textId="305366D4" w:rsidR="00571698" w:rsidRPr="003C4811" w:rsidRDefault="00571698" w:rsidP="00571698">
      <w:pPr>
        <w:pStyle w:val="NormalHanging12a"/>
      </w:pPr>
      <w:r w:rsidRPr="003C4811">
        <w:t>I.</w:t>
      </w:r>
      <w:r w:rsidRPr="003C4811">
        <w:tab/>
        <w:t>billi l-Parlament ma jistax jitqies bħala qorti u l-Membru ma jistax, fil-kuntest ta’ proċedura għat-tneħħija tal-immunità, jitqies bħala “akkużat”</w:t>
      </w:r>
      <w:r w:rsidRPr="003C4811">
        <w:rPr>
          <w:rStyle w:val="FootnoteReference"/>
        </w:rPr>
        <w:footnoteReference w:id="2"/>
      </w:r>
      <w:r w:rsidRPr="003C4811">
        <w:t>;</w:t>
      </w:r>
    </w:p>
    <w:p w14:paraId="0575A3DF" w14:textId="77777777" w:rsidR="00571698" w:rsidRPr="003C4811" w:rsidRDefault="00571698" w:rsidP="00571698">
      <w:pPr>
        <w:pStyle w:val="NormalHanging12a"/>
      </w:pPr>
      <w:r w:rsidRPr="003C4811">
        <w:t>J.</w:t>
      </w:r>
      <w:r w:rsidRPr="003C4811">
        <w:tab/>
        <w:t xml:space="preserve">billi jidher li, f’dan il-każ, wieħed ma jistax jassumi </w:t>
      </w:r>
      <w:r w:rsidRPr="003C4811">
        <w:rPr>
          <w:i/>
          <w:iCs/>
        </w:rPr>
        <w:t>fumus persecutionis</w:t>
      </w:r>
      <w:r w:rsidRPr="003C4811">
        <w:t>, jiġifieri li l-intenzjoni wara l-proċedimenti legali hija li ssir ħsara lill-attività politika tal-Membru bħala Membru tal-Parlament Ewropew u b’hekk l-indipendenza tal-Parlament;</w:t>
      </w:r>
    </w:p>
    <w:p w14:paraId="0D1C502C" w14:textId="77777777" w:rsidR="00571698" w:rsidRPr="003C4811" w:rsidRDefault="00571698" w:rsidP="00571698">
      <w:pPr>
        <w:pStyle w:val="NormalHanging12a"/>
      </w:pPr>
      <w:r w:rsidRPr="003C4811">
        <w:t>1.</w:t>
      </w:r>
      <w:r w:rsidRPr="003C4811">
        <w:tab/>
        <w:t xml:space="preserve">Jiddeċiedi li jneħħi l-immunità ta’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>;</w:t>
      </w:r>
    </w:p>
    <w:p w14:paraId="16749D0F" w14:textId="2499EDED" w:rsidR="00E365E1" w:rsidRPr="003C4811" w:rsidRDefault="00571698" w:rsidP="009B30B8">
      <w:pPr>
        <w:ind w:left="567" w:hanging="567"/>
      </w:pPr>
      <w:r w:rsidRPr="003C4811">
        <w:t>2.</w:t>
      </w:r>
      <w:r w:rsidRPr="003C4811">
        <w:tab/>
        <w:t xml:space="preserve">Jagħti istruzzjonijiet lill-President tiegħu biex tgħaddi minnufih din id-deċiżjoni u r-rapport tal-kumitat responsabbli tiegħu lill-awtorità kompetenti tar-Repubblika Federali tal-Ġermanja u lil </w:t>
      </w:r>
      <w:proofErr w:type="spellStart"/>
      <w:r w:rsidRPr="003C4811">
        <w:t>Siegbert</w:t>
      </w:r>
      <w:proofErr w:type="spellEnd"/>
      <w:r w:rsidRPr="003C4811">
        <w:t xml:space="preserve"> Frank </w:t>
      </w:r>
      <w:proofErr w:type="spellStart"/>
      <w:r w:rsidRPr="003C4811">
        <w:t>Droese</w:t>
      </w:r>
      <w:proofErr w:type="spellEnd"/>
      <w:r w:rsidRPr="003C4811">
        <w:t>.</w:t>
      </w:r>
    </w:p>
    <w:sectPr w:rsidR="00E365E1" w:rsidRPr="003C4811" w:rsidSect="003C48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8A77" w14:textId="77777777" w:rsidR="00252BF0" w:rsidRPr="003C4811" w:rsidRDefault="00252BF0">
      <w:r w:rsidRPr="003C4811">
        <w:separator/>
      </w:r>
    </w:p>
  </w:endnote>
  <w:endnote w:type="continuationSeparator" w:id="0">
    <w:p w14:paraId="6A6BE981" w14:textId="77777777" w:rsidR="00252BF0" w:rsidRPr="003C4811" w:rsidRDefault="00252BF0">
      <w:r w:rsidRPr="003C48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A4146" w14:textId="77777777" w:rsidR="00064002" w:rsidRPr="003C48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506B" w14:textId="77777777" w:rsidR="00064002" w:rsidRPr="003C48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018B" w14:textId="77777777" w:rsidR="00064002" w:rsidRPr="003C48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1A489" w14:textId="77777777" w:rsidR="00252BF0" w:rsidRPr="003C4811" w:rsidRDefault="00252BF0">
      <w:r w:rsidRPr="003C4811">
        <w:separator/>
      </w:r>
    </w:p>
  </w:footnote>
  <w:footnote w:type="continuationSeparator" w:id="0">
    <w:p w14:paraId="4D4D5BC0" w14:textId="77777777" w:rsidR="00252BF0" w:rsidRPr="003C4811" w:rsidRDefault="00252BF0">
      <w:r w:rsidRPr="003C4811">
        <w:continuationSeparator/>
      </w:r>
    </w:p>
  </w:footnote>
  <w:footnote w:id="1">
    <w:p w14:paraId="2FEC96C8" w14:textId="75442880" w:rsidR="00571698" w:rsidRPr="003C4811" w:rsidRDefault="00571698" w:rsidP="003C4811">
      <w:pPr>
        <w:pStyle w:val="FootnoteText"/>
        <w:ind w:left="567" w:hanging="567"/>
        <w:rPr>
          <w:sz w:val="24"/>
          <w:lang w:val="mt-MT"/>
        </w:rPr>
      </w:pPr>
      <w:r w:rsidRPr="003C4811">
        <w:rPr>
          <w:rStyle w:val="FootnoteReference"/>
          <w:sz w:val="24"/>
          <w:lang w:val="mt-MT"/>
        </w:rPr>
        <w:footnoteRef/>
      </w:r>
      <w:r w:rsidR="003C4811" w:rsidRPr="003C4811">
        <w:rPr>
          <w:sz w:val="24"/>
          <w:lang w:val="mt-MT"/>
        </w:rPr>
        <w:t xml:space="preserve"> </w:t>
      </w:r>
      <w:r w:rsidR="003C4811" w:rsidRPr="003C4811">
        <w:rPr>
          <w:sz w:val="24"/>
          <w:lang w:val="mt-MT"/>
        </w:rPr>
        <w:tab/>
      </w:r>
      <w:r w:rsidRPr="003C4811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3C4811">
        <w:rPr>
          <w:sz w:val="24"/>
          <w:lang w:val="mt-MT"/>
        </w:rPr>
        <w:t>Marra</w:t>
      </w:r>
      <w:proofErr w:type="spellEnd"/>
      <w:r w:rsidRPr="003C4811">
        <w:rPr>
          <w:sz w:val="24"/>
          <w:lang w:val="mt-MT"/>
        </w:rPr>
        <w:t xml:space="preserve"> </w:t>
      </w:r>
      <w:proofErr w:type="spellStart"/>
      <w:r w:rsidRPr="003C4811">
        <w:rPr>
          <w:sz w:val="24"/>
          <w:lang w:val="mt-MT"/>
        </w:rPr>
        <w:t>vs</w:t>
      </w:r>
      <w:proofErr w:type="spellEnd"/>
      <w:r w:rsidRPr="003C4811">
        <w:rPr>
          <w:sz w:val="24"/>
          <w:lang w:val="mt-MT"/>
        </w:rPr>
        <w:t xml:space="preserve"> De </w:t>
      </w:r>
      <w:proofErr w:type="spellStart"/>
      <w:r w:rsidRPr="003C4811">
        <w:rPr>
          <w:sz w:val="24"/>
          <w:lang w:val="mt-MT"/>
        </w:rPr>
        <w:t>Gregorio</w:t>
      </w:r>
      <w:proofErr w:type="spellEnd"/>
      <w:r w:rsidRPr="003C4811">
        <w:rPr>
          <w:sz w:val="24"/>
          <w:lang w:val="mt-MT"/>
        </w:rPr>
        <w:t xml:space="preserve"> u </w:t>
      </w:r>
      <w:proofErr w:type="spellStart"/>
      <w:r w:rsidRPr="003C4811">
        <w:rPr>
          <w:sz w:val="24"/>
          <w:lang w:val="mt-MT"/>
        </w:rPr>
        <w:t>Clemente</w:t>
      </w:r>
      <w:proofErr w:type="spellEnd"/>
      <w:r w:rsidRPr="003C4811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3C4811">
        <w:rPr>
          <w:sz w:val="24"/>
          <w:lang w:val="mt-MT"/>
        </w:rPr>
        <w:t>Gollnisch</w:t>
      </w:r>
      <w:proofErr w:type="spellEnd"/>
      <w:r w:rsidRPr="003C4811">
        <w:rPr>
          <w:sz w:val="24"/>
          <w:lang w:val="mt-MT"/>
        </w:rPr>
        <w:t xml:space="preserve"> </w:t>
      </w:r>
      <w:proofErr w:type="spellStart"/>
      <w:r w:rsidRPr="003C4811">
        <w:rPr>
          <w:sz w:val="24"/>
          <w:lang w:val="mt-MT"/>
        </w:rPr>
        <w:t>vs</w:t>
      </w:r>
      <w:proofErr w:type="spellEnd"/>
      <w:r w:rsidRPr="003C4811">
        <w:rPr>
          <w:sz w:val="24"/>
          <w:lang w:val="mt-MT"/>
        </w:rPr>
        <w:t xml:space="preserve"> Il-Parlament, T-42/05, ECLI:EU:T:2010:102; is-sentenza tal-Qorti tal-Ġustizzja tas-6 ta’ Settembru 2011, </w:t>
      </w:r>
      <w:proofErr w:type="spellStart"/>
      <w:r w:rsidRPr="003C4811">
        <w:rPr>
          <w:sz w:val="24"/>
          <w:lang w:val="mt-MT"/>
        </w:rPr>
        <w:t>Patriciello</w:t>
      </w:r>
      <w:proofErr w:type="spellEnd"/>
      <w:r w:rsidRPr="003C4811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3C4811">
        <w:rPr>
          <w:sz w:val="24"/>
          <w:lang w:val="mt-MT"/>
        </w:rPr>
        <w:t>Gollnisch</w:t>
      </w:r>
      <w:proofErr w:type="spellEnd"/>
      <w:r w:rsidRPr="003C4811">
        <w:rPr>
          <w:sz w:val="24"/>
          <w:lang w:val="mt-MT"/>
        </w:rPr>
        <w:t xml:space="preserve"> </w:t>
      </w:r>
      <w:proofErr w:type="spellStart"/>
      <w:r w:rsidRPr="003C4811">
        <w:rPr>
          <w:sz w:val="24"/>
          <w:lang w:val="mt-MT"/>
        </w:rPr>
        <w:t>vs</w:t>
      </w:r>
      <w:proofErr w:type="spellEnd"/>
      <w:r w:rsidRPr="003C4811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3C4811">
        <w:rPr>
          <w:sz w:val="24"/>
          <w:lang w:val="mt-MT"/>
        </w:rPr>
        <w:t>Junqueras</w:t>
      </w:r>
      <w:proofErr w:type="spellEnd"/>
      <w:r w:rsidRPr="003C4811">
        <w:rPr>
          <w:sz w:val="24"/>
          <w:lang w:val="mt-MT"/>
        </w:rPr>
        <w:t xml:space="preserve"> </w:t>
      </w:r>
      <w:proofErr w:type="spellStart"/>
      <w:r w:rsidRPr="003C4811">
        <w:rPr>
          <w:sz w:val="24"/>
          <w:lang w:val="mt-MT"/>
        </w:rPr>
        <w:t>Vies</w:t>
      </w:r>
      <w:proofErr w:type="spellEnd"/>
      <w:r w:rsidRPr="003C4811">
        <w:rPr>
          <w:sz w:val="24"/>
          <w:lang w:val="mt-MT"/>
        </w:rPr>
        <w:t>, C-502/19, ECLI:EU:C:2019:1115.</w:t>
      </w:r>
    </w:p>
  </w:footnote>
  <w:footnote w:id="2">
    <w:p w14:paraId="226150A6" w14:textId="78B22965" w:rsidR="00571698" w:rsidRPr="003C4811" w:rsidRDefault="00571698" w:rsidP="003C4811">
      <w:pPr>
        <w:pStyle w:val="FootnoteText"/>
        <w:ind w:left="567" w:hanging="567"/>
        <w:rPr>
          <w:sz w:val="24"/>
          <w:lang w:val="mt-MT"/>
        </w:rPr>
      </w:pPr>
      <w:r w:rsidRPr="003C4811">
        <w:rPr>
          <w:rStyle w:val="FootnoteReference"/>
          <w:sz w:val="24"/>
          <w:lang w:val="mt-MT"/>
        </w:rPr>
        <w:footnoteRef/>
      </w:r>
      <w:r w:rsidR="003C4811" w:rsidRPr="003C4811">
        <w:rPr>
          <w:sz w:val="24"/>
          <w:lang w:val="mt-MT"/>
        </w:rPr>
        <w:t xml:space="preserve"> </w:t>
      </w:r>
      <w:r w:rsidR="003C4811" w:rsidRPr="003C4811">
        <w:rPr>
          <w:sz w:val="24"/>
          <w:lang w:val="mt-MT"/>
        </w:rPr>
        <w:tab/>
      </w:r>
      <w:r w:rsidRPr="003C4811">
        <w:rPr>
          <w:sz w:val="24"/>
          <w:lang w:val="mt-MT"/>
        </w:rPr>
        <w:t xml:space="preserve">Is-sentenza tal-Qorti Ġenerali tat-30 ta’ April 2019, </w:t>
      </w:r>
      <w:proofErr w:type="spellStart"/>
      <w:r w:rsidRPr="003C4811">
        <w:rPr>
          <w:sz w:val="24"/>
          <w:lang w:val="mt-MT"/>
        </w:rPr>
        <w:t>Briois</w:t>
      </w:r>
      <w:proofErr w:type="spellEnd"/>
      <w:r w:rsidRPr="003C4811">
        <w:rPr>
          <w:sz w:val="24"/>
          <w:lang w:val="mt-MT"/>
        </w:rPr>
        <w:t xml:space="preserve"> </w:t>
      </w:r>
      <w:proofErr w:type="spellStart"/>
      <w:r w:rsidRPr="003C4811">
        <w:rPr>
          <w:sz w:val="24"/>
          <w:lang w:val="mt-MT"/>
        </w:rPr>
        <w:t>vs</w:t>
      </w:r>
      <w:proofErr w:type="spellEnd"/>
      <w:r w:rsidRPr="003C4811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8F33" w14:textId="77777777" w:rsidR="00064002" w:rsidRPr="003C48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F6F3" w14:textId="77777777" w:rsidR="00064002" w:rsidRPr="003C48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855A" w14:textId="77777777" w:rsidR="00064002" w:rsidRPr="003C48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9326203">
    <w:abstractNumId w:val="9"/>
  </w:num>
  <w:num w:numId="2" w16cid:durableId="684408071">
    <w:abstractNumId w:val="9"/>
  </w:num>
  <w:num w:numId="3" w16cid:durableId="1251082962">
    <w:abstractNumId w:val="7"/>
  </w:num>
  <w:num w:numId="4" w16cid:durableId="465245548">
    <w:abstractNumId w:val="7"/>
  </w:num>
  <w:num w:numId="5" w16cid:durableId="894467968">
    <w:abstractNumId w:val="6"/>
  </w:num>
  <w:num w:numId="6" w16cid:durableId="1423261327">
    <w:abstractNumId w:val="6"/>
  </w:num>
  <w:num w:numId="7" w16cid:durableId="439375126">
    <w:abstractNumId w:val="5"/>
  </w:num>
  <w:num w:numId="8" w16cid:durableId="2073960669">
    <w:abstractNumId w:val="5"/>
  </w:num>
  <w:num w:numId="9" w16cid:durableId="1719821961">
    <w:abstractNumId w:val="4"/>
  </w:num>
  <w:num w:numId="10" w16cid:durableId="654646175">
    <w:abstractNumId w:val="4"/>
  </w:num>
  <w:num w:numId="11" w16cid:durableId="2134593769">
    <w:abstractNumId w:val="8"/>
  </w:num>
  <w:num w:numId="12" w16cid:durableId="2077317282">
    <w:abstractNumId w:val="8"/>
  </w:num>
  <w:num w:numId="13" w16cid:durableId="2017032674">
    <w:abstractNumId w:val="3"/>
  </w:num>
  <w:num w:numId="14" w16cid:durableId="1715078952">
    <w:abstractNumId w:val="3"/>
  </w:num>
  <w:num w:numId="15" w16cid:durableId="899288739">
    <w:abstractNumId w:val="2"/>
  </w:num>
  <w:num w:numId="16" w16cid:durableId="667758456">
    <w:abstractNumId w:val="2"/>
  </w:num>
  <w:num w:numId="17" w16cid:durableId="1376271065">
    <w:abstractNumId w:val="1"/>
  </w:num>
  <w:num w:numId="18" w16cid:durableId="2059089191">
    <w:abstractNumId w:val="1"/>
  </w:num>
  <w:num w:numId="19" w16cid:durableId="723413365">
    <w:abstractNumId w:val="0"/>
  </w:num>
  <w:num w:numId="20" w16cid:durableId="1621763419">
    <w:abstractNumId w:val="0"/>
  </w:num>
  <w:num w:numId="21" w16cid:durableId="1547989590">
    <w:abstractNumId w:val="9"/>
  </w:num>
  <w:num w:numId="22" w16cid:durableId="86123603">
    <w:abstractNumId w:val="7"/>
  </w:num>
  <w:num w:numId="23" w16cid:durableId="723721845">
    <w:abstractNumId w:val="6"/>
  </w:num>
  <w:num w:numId="24" w16cid:durableId="1774200305">
    <w:abstractNumId w:val="5"/>
  </w:num>
  <w:num w:numId="25" w16cid:durableId="1580938587">
    <w:abstractNumId w:val="4"/>
  </w:num>
  <w:num w:numId="26" w16cid:durableId="126095268">
    <w:abstractNumId w:val="8"/>
  </w:num>
  <w:num w:numId="27" w16cid:durableId="1525947179">
    <w:abstractNumId w:val="3"/>
  </w:num>
  <w:num w:numId="28" w16cid:durableId="106968235">
    <w:abstractNumId w:val="2"/>
  </w:num>
  <w:num w:numId="29" w16cid:durableId="1144658416">
    <w:abstractNumId w:val="1"/>
  </w:num>
  <w:num w:numId="30" w16cid:durableId="735130208">
    <w:abstractNumId w:val="0"/>
  </w:num>
  <w:num w:numId="31" w16cid:durableId="332684341">
    <w:abstractNumId w:val="9"/>
  </w:num>
  <w:num w:numId="32" w16cid:durableId="1489318740">
    <w:abstractNumId w:val="7"/>
  </w:num>
  <w:num w:numId="33" w16cid:durableId="881600750">
    <w:abstractNumId w:val="6"/>
  </w:num>
  <w:num w:numId="34" w16cid:durableId="720665407">
    <w:abstractNumId w:val="5"/>
  </w:num>
  <w:num w:numId="35" w16cid:durableId="774178137">
    <w:abstractNumId w:val="4"/>
  </w:num>
  <w:num w:numId="36" w16cid:durableId="1673875282">
    <w:abstractNumId w:val="8"/>
  </w:num>
  <w:num w:numId="37" w16cid:durableId="1040976652">
    <w:abstractNumId w:val="3"/>
  </w:num>
  <w:num w:numId="38" w16cid:durableId="629632541">
    <w:abstractNumId w:val="2"/>
  </w:num>
  <w:num w:numId="39" w16cid:durableId="1341006678">
    <w:abstractNumId w:val="1"/>
  </w:num>
  <w:num w:numId="40" w16cid:durableId="613638614">
    <w:abstractNumId w:val="0"/>
  </w:num>
  <w:num w:numId="41" w16cid:durableId="1880706223">
    <w:abstractNumId w:val="10"/>
  </w:num>
  <w:num w:numId="42" w16cid:durableId="1067849110">
    <w:abstractNumId w:val="10"/>
  </w:num>
  <w:num w:numId="43" w16cid:durableId="942301923">
    <w:abstractNumId w:val="10"/>
  </w:num>
  <w:num w:numId="44" w16cid:durableId="693482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MT"/>
    <w:docVar w:name="dvnumam" w:val="0"/>
    <w:docVar w:name="dvpe" w:val="789.054"/>
    <w:docVar w:name="dvrapporteur" w:val="Rapporteur: "/>
    <w:docVar w:name="dvtitre" w:val="Deċiżjoni tal-Parlament Ewropew xx xx xxxx 2026 dwar it-talba għat-tneħħija tal-immunità ta’ Siegbert Frank Droese(2026/2019(IMM))"/>
  </w:docVars>
  <w:rsids>
    <w:rsidRoot w:val="00252BF0"/>
    <w:rsid w:val="00002272"/>
    <w:rsid w:val="0005416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2DE"/>
    <w:rsid w:val="00252BF0"/>
    <w:rsid w:val="002767FF"/>
    <w:rsid w:val="002B18FE"/>
    <w:rsid w:val="002B5493"/>
    <w:rsid w:val="00343214"/>
    <w:rsid w:val="00361C00"/>
    <w:rsid w:val="00395FA1"/>
    <w:rsid w:val="003C481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698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0B8"/>
    <w:rsid w:val="00A1319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B8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CA44D"/>
  <w15:chartTrackingRefBased/>
  <w15:docId w15:val="{D0738848-087C-41A3-A542-36215885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71698"/>
    <w:pPr>
      <w:spacing w:after="240"/>
      <w:ind w:left="567" w:hanging="567"/>
    </w:pPr>
  </w:style>
  <w:style w:type="paragraph" w:customStyle="1" w:styleId="EPComma">
    <w:name w:val="EPComma"/>
    <w:basedOn w:val="Normal"/>
    <w:rsid w:val="00571698"/>
    <w:pPr>
      <w:spacing w:before="480" w:after="240"/>
    </w:pPr>
  </w:style>
  <w:style w:type="paragraph" w:styleId="Revision">
    <w:name w:val="Revision"/>
    <w:hidden/>
    <w:uiPriority w:val="99"/>
    <w:semiHidden/>
    <w:rsid w:val="001F52D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2026-07-07T10:45:00Z</dcterms:created>
  <dcterms:modified xsi:type="dcterms:W3CDTF">2026-07-07T10:45:00Z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