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17EF" w14:paraId="3419E8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BCD863" w14:textId="77777777" w:rsidR="00751A4A" w:rsidRPr="004E17EF" w:rsidRDefault="00701C29" w:rsidP="0010095E">
            <w:pPr>
              <w:pStyle w:val="EPName"/>
            </w:pPr>
            <w:r w:rsidRPr="004E17EF">
              <w:t>Parlament Europejski</w:t>
            </w:r>
          </w:p>
          <w:p w14:paraId="62C62F98" w14:textId="77777777" w:rsidR="00751A4A" w:rsidRPr="004E17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17EF">
              <w:t>2024</w:t>
            </w:r>
            <w:r w:rsidR="00817416" w:rsidRPr="004E17EF">
              <w:t>-202</w:t>
            </w:r>
            <w:r w:rsidRPr="004E17EF">
              <w:t>9</w:t>
            </w:r>
          </w:p>
        </w:tc>
        <w:tc>
          <w:tcPr>
            <w:tcW w:w="2268" w:type="dxa"/>
            <w:shd w:val="clear" w:color="auto" w:fill="auto"/>
          </w:tcPr>
          <w:p w14:paraId="681CCE0E" w14:textId="77777777" w:rsidR="00751A4A" w:rsidRPr="004E17EF" w:rsidRDefault="00187494" w:rsidP="0010095E">
            <w:pPr>
              <w:pStyle w:val="EPLogo"/>
            </w:pPr>
            <w:r w:rsidRPr="004E17EF">
              <w:rPr>
                <w:noProof/>
                <w:lang w:eastAsia="ja-JP"/>
              </w:rPr>
              <w:drawing>
                <wp:inline distT="0" distB="0" distL="0" distR="0" wp14:anchorId="1D8FB8D1" wp14:editId="2DB1F5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F87B6" w14:textId="77777777" w:rsidR="00D058B8" w:rsidRPr="004E17EF" w:rsidRDefault="00D058B8" w:rsidP="004C5D52">
      <w:pPr>
        <w:pStyle w:val="LineTop"/>
      </w:pPr>
    </w:p>
    <w:p w14:paraId="60362E40" w14:textId="77777777" w:rsidR="00680577" w:rsidRPr="004E17EF" w:rsidRDefault="00701C29" w:rsidP="00680577">
      <w:pPr>
        <w:pStyle w:val="EPBodyTA1"/>
      </w:pPr>
      <w:r w:rsidRPr="004E17EF">
        <w:t>TEKSTY PRZYJĘTE</w:t>
      </w:r>
    </w:p>
    <w:p w14:paraId="199944FD" w14:textId="77777777" w:rsidR="00D058B8" w:rsidRPr="004E17EF" w:rsidRDefault="00D058B8" w:rsidP="00D058B8">
      <w:pPr>
        <w:pStyle w:val="LineBottom"/>
      </w:pPr>
    </w:p>
    <w:p w14:paraId="27F85B6E" w14:textId="12A2F08F" w:rsidR="00701C29" w:rsidRPr="004E17EF" w:rsidRDefault="00701C29" w:rsidP="00701C29">
      <w:pPr>
        <w:pStyle w:val="ATHeading1"/>
      </w:pPr>
      <w:bookmarkStart w:id="0" w:name="TANumber"/>
      <w:r w:rsidRPr="004E17EF">
        <w:t>P10_TA(2026)0</w:t>
      </w:r>
      <w:bookmarkEnd w:id="0"/>
      <w:r w:rsidR="006F31B2">
        <w:t>236</w:t>
      </w:r>
    </w:p>
    <w:p w14:paraId="7DD8434E" w14:textId="77777777" w:rsidR="00701C29" w:rsidRPr="004E17EF" w:rsidRDefault="00701C29" w:rsidP="00701C29">
      <w:pPr>
        <w:pStyle w:val="ATHeading2"/>
      </w:pPr>
      <w:bookmarkStart w:id="1" w:name="title"/>
      <w:r w:rsidRPr="004E17EF">
        <w:t xml:space="preserve">Wniosek o uchylenie immunitetu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bookmarkEnd w:id="1"/>
      <w:proofErr w:type="spellEnd"/>
    </w:p>
    <w:p w14:paraId="6C9AF7F3" w14:textId="77777777" w:rsidR="00701C29" w:rsidRPr="004E17EF" w:rsidRDefault="00701C29" w:rsidP="00701C29">
      <w:pPr>
        <w:rPr>
          <w:i/>
          <w:vanish/>
        </w:rPr>
      </w:pPr>
      <w:r w:rsidRPr="004E17EF">
        <w:rPr>
          <w:i/>
        </w:rPr>
        <w:fldChar w:fldCharType="begin"/>
      </w:r>
      <w:r w:rsidRPr="004E17EF">
        <w:rPr>
          <w:i/>
        </w:rPr>
        <w:instrText xml:space="preserve"> TC"(</w:instrText>
      </w:r>
      <w:bookmarkStart w:id="2" w:name="DocNumber"/>
      <w:r w:rsidRPr="004E17EF">
        <w:rPr>
          <w:i/>
        </w:rPr>
        <w:instrText>A10-0193/2026</w:instrText>
      </w:r>
      <w:bookmarkEnd w:id="2"/>
      <w:r w:rsidRPr="004E17EF">
        <w:rPr>
          <w:i/>
        </w:rPr>
        <w:instrText xml:space="preserve"> - Sprawozdawca: Adrián Vázquez Lázara)"\l3 \n&gt; \* MERGEFORMAT </w:instrText>
      </w:r>
      <w:r w:rsidRPr="004E17EF">
        <w:rPr>
          <w:i/>
        </w:rPr>
        <w:fldChar w:fldCharType="end"/>
      </w:r>
    </w:p>
    <w:p w14:paraId="102725C8" w14:textId="77777777" w:rsidR="00701C29" w:rsidRPr="004E17EF" w:rsidRDefault="00701C29" w:rsidP="00701C29">
      <w:pPr>
        <w:rPr>
          <w:vanish/>
        </w:rPr>
      </w:pPr>
      <w:bookmarkStart w:id="3" w:name="Commission"/>
      <w:r w:rsidRPr="004E17EF">
        <w:rPr>
          <w:vanish/>
        </w:rPr>
        <w:t>Komisja Prawna</w:t>
      </w:r>
      <w:bookmarkEnd w:id="3"/>
    </w:p>
    <w:p w14:paraId="48E130EA" w14:textId="77777777" w:rsidR="00701C29" w:rsidRPr="004E17EF" w:rsidRDefault="00701C29" w:rsidP="00701C29">
      <w:pPr>
        <w:rPr>
          <w:vanish/>
        </w:rPr>
      </w:pPr>
      <w:bookmarkStart w:id="4" w:name="PE"/>
      <w:r w:rsidRPr="004E17EF">
        <w:rPr>
          <w:vanish/>
        </w:rPr>
        <w:t>PE789.054</w:t>
      </w:r>
      <w:bookmarkEnd w:id="4"/>
    </w:p>
    <w:p w14:paraId="021E50E3" w14:textId="59C9CAA5" w:rsidR="00701C29" w:rsidRPr="004E17EF" w:rsidRDefault="00701C29" w:rsidP="00701C29">
      <w:pPr>
        <w:pStyle w:val="ATHeading3"/>
      </w:pPr>
      <w:bookmarkStart w:id="5" w:name="Sujet"/>
      <w:r w:rsidRPr="004E17EF">
        <w:t xml:space="preserve">Decyzja Parlamentu Europejskiego z dnia </w:t>
      </w:r>
      <w:r w:rsidR="005F73EA">
        <w:t>7 lipca</w:t>
      </w:r>
      <w:r w:rsidRPr="004E17EF">
        <w:t xml:space="preserve"> 2026 r. w sprawie wniosku o uchylenie immunitetu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bookmarkEnd w:id="5"/>
      <w:proofErr w:type="spellEnd"/>
      <w:r w:rsidRPr="004E17EF">
        <w:t xml:space="preserve"> </w:t>
      </w:r>
      <w:bookmarkStart w:id="6" w:name="References"/>
      <w:r w:rsidRPr="004E17EF">
        <w:t>(2026/2019(IMM))</w:t>
      </w:r>
      <w:bookmarkEnd w:id="6"/>
    </w:p>
    <w:p w14:paraId="2ED8A466" w14:textId="77777777" w:rsidR="006E421E" w:rsidRPr="004E17EF" w:rsidRDefault="006E421E" w:rsidP="006E421E">
      <w:pPr>
        <w:pStyle w:val="EPComma"/>
      </w:pPr>
      <w:bookmarkStart w:id="7" w:name="TextBodyBegin"/>
      <w:bookmarkEnd w:id="7"/>
      <w:r w:rsidRPr="004E17EF">
        <w:rPr>
          <w:i/>
        </w:rPr>
        <w:t>Parlament Europejski</w:t>
      </w:r>
      <w:r w:rsidRPr="004E17EF">
        <w:t>,</w:t>
      </w:r>
    </w:p>
    <w:p w14:paraId="4827ABBB" w14:textId="20256340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 xml:space="preserve">uwzględniając wniosek o uchylenie immunitetu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proofErr w:type="spellEnd"/>
      <w:r w:rsidRPr="004E17EF">
        <w:t xml:space="preserve">, który wpłynął pismem niemieckiego federalnego ministerstwa sprawiedliwości i ochrony konsumentów z 15 stycznia 2026 r., przekazującym wniosek sądu </w:t>
      </w:r>
      <w:r w:rsidR="00D51815">
        <w:t>kraj</w:t>
      </w:r>
      <w:r w:rsidRPr="004E17EF">
        <w:t>owego w Dreźnie z 2 grudnia 2025 r., ogłoszony na posiedzeniu plenarnym 11 lutego 2026 r.,</w:t>
      </w:r>
    </w:p>
    <w:p w14:paraId="34F3F422" w14:textId="77777777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 xml:space="preserve">uwzględniając fakt, że należy przyjąć, iż </w:t>
      </w:r>
      <w:proofErr w:type="spellStart"/>
      <w:r w:rsidRPr="004E17EF">
        <w:t>Siegbert</w:t>
      </w:r>
      <w:proofErr w:type="spellEnd"/>
      <w:r w:rsidRPr="004E17EF">
        <w:t xml:space="preserve"> Frank </w:t>
      </w:r>
      <w:proofErr w:type="spellStart"/>
      <w:r w:rsidRPr="004E17EF">
        <w:t>Droese</w:t>
      </w:r>
      <w:proofErr w:type="spellEnd"/>
      <w:r w:rsidRPr="004E17EF">
        <w:t xml:space="preserve"> zrzekł się prawa do udzielenia wyjaśnień zgodnie z art. 9 ust. 6 Regulaminu, </w:t>
      </w:r>
    </w:p>
    <w:p w14:paraId="0DE995F8" w14:textId="77777777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>uwzględniając art. 9 Protokołu nr 7 w sprawie przywilejów i immunitetów Unii Europejskiej, jak również art. 6 ust. 2 aktu z 20 września 1976 r. dotyczącego wyborów przedstawicieli do Parlamentu Europejskiego w powszechnych wyborach bezpośrednich,</w:t>
      </w:r>
    </w:p>
    <w:p w14:paraId="552B07DC" w14:textId="77777777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>uwzględniając wyroki wydane przez Trybunał Sprawiedliwości Unii Europejskiej 21 października 2008 r., 19 marca 2010 r., 6 września 2011 r., 17 stycznia 2013 r. i 19 grudnia 2019 r.</w:t>
      </w:r>
      <w:r w:rsidRPr="004E17EF">
        <w:rPr>
          <w:rStyle w:val="FootnoteReference"/>
        </w:rPr>
        <w:footnoteReference w:id="1"/>
      </w:r>
      <w:r w:rsidRPr="004E17EF">
        <w:t>,</w:t>
      </w:r>
    </w:p>
    <w:p w14:paraId="6ED968AC" w14:textId="77777777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 xml:space="preserve">uwzględniając art. 46 ustawy zasadniczej Republiki Federalnej Niemiec, </w:t>
      </w:r>
    </w:p>
    <w:p w14:paraId="259181F3" w14:textId="77777777" w:rsidR="006E421E" w:rsidRPr="004E17EF" w:rsidRDefault="006E421E" w:rsidP="006E421E">
      <w:pPr>
        <w:pStyle w:val="NormalHanging12a"/>
      </w:pPr>
      <w:r w:rsidRPr="004E17EF">
        <w:t>–</w:t>
      </w:r>
      <w:r w:rsidRPr="004E17EF">
        <w:tab/>
        <w:t>uwzględniając art. 5 ust. 2, art. 6 ust. 1 oraz art. 9 Regulaminu,</w:t>
      </w:r>
    </w:p>
    <w:p w14:paraId="5A331DAB" w14:textId="77777777" w:rsidR="006E421E" w:rsidRPr="004E17EF" w:rsidRDefault="006E421E" w:rsidP="006E421E">
      <w:pPr>
        <w:pStyle w:val="NormalHanging12a"/>
      </w:pPr>
      <w:r w:rsidRPr="004E17EF">
        <w:lastRenderedPageBreak/>
        <w:t>–</w:t>
      </w:r>
      <w:r w:rsidRPr="004E17EF">
        <w:tab/>
        <w:t>uwzględniając sprawozdanie Komisji Prawnej (A10-0193/2026),</w:t>
      </w:r>
    </w:p>
    <w:p w14:paraId="76061384" w14:textId="565E4EF9" w:rsidR="006E421E" w:rsidRPr="004E17EF" w:rsidRDefault="006E421E" w:rsidP="006E421E">
      <w:pPr>
        <w:pStyle w:val="NormalHanging12a"/>
      </w:pPr>
      <w:r w:rsidRPr="004E17EF">
        <w:t>A.</w:t>
      </w:r>
      <w:r w:rsidRPr="004E17EF">
        <w:tab/>
        <w:t xml:space="preserve">mając na uwadze, że 15 stycznia 2026 r. niemieckie federalne ministerstwo sprawiedliwości i ochrony konsumentów przekazało wniosek sądu </w:t>
      </w:r>
      <w:r w:rsidR="00D51815">
        <w:t>krajow</w:t>
      </w:r>
      <w:r w:rsidRPr="004E17EF">
        <w:t xml:space="preserve">ego w Dreźnie o uchylenie immunitetu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proofErr w:type="spellEnd"/>
      <w:r w:rsidRPr="004E17EF">
        <w:t>, posła do Parlamentu Europejskiego wybranego w Niemczech, w związku ze złożoną przez niego apelacją w postępowaniu karnym;</w:t>
      </w:r>
    </w:p>
    <w:p w14:paraId="6227AC75" w14:textId="77777777" w:rsidR="006E421E" w:rsidRPr="004E17EF" w:rsidRDefault="006E421E" w:rsidP="006E421E">
      <w:pPr>
        <w:pStyle w:val="NormalHanging12a"/>
      </w:pPr>
      <w:r w:rsidRPr="004E17EF">
        <w:t>B.</w:t>
      </w:r>
      <w:r w:rsidRPr="004E17EF">
        <w:tab/>
        <w:t xml:space="preserve">mając na uwadze, że wyrokiem sądu rejonowego w Dreźnie z 26 kwietnia 2024 r. </w:t>
      </w:r>
      <w:proofErr w:type="spellStart"/>
      <w:r w:rsidRPr="004E17EF">
        <w:t>Siegbert</w:t>
      </w:r>
      <w:proofErr w:type="spellEnd"/>
      <w:r w:rsidRPr="004E17EF">
        <w:t xml:space="preserve"> Frank </w:t>
      </w:r>
      <w:proofErr w:type="spellStart"/>
      <w:r w:rsidRPr="004E17EF">
        <w:t>Droese</w:t>
      </w:r>
      <w:proofErr w:type="spellEnd"/>
      <w:r w:rsidRPr="004E17EF">
        <w:t xml:space="preserve"> został skazany za dwa odrębne przypadki znieważenia i nałożono na niego grzywnę; mając na uwadze, że 3 maja 2024 r. </w:t>
      </w:r>
      <w:proofErr w:type="spellStart"/>
      <w:r w:rsidRPr="004E17EF">
        <w:t>Siegbert</w:t>
      </w:r>
      <w:proofErr w:type="spellEnd"/>
      <w:r w:rsidRPr="004E17EF">
        <w:t xml:space="preserve"> Frank </w:t>
      </w:r>
      <w:proofErr w:type="spellStart"/>
      <w:r w:rsidRPr="004E17EF">
        <w:t>Droese</w:t>
      </w:r>
      <w:proofErr w:type="spellEnd"/>
      <w:r w:rsidRPr="004E17EF">
        <w:t xml:space="preserve"> wniósł apelację od tego wyroku w drodze pisma jego obrońcy; </w:t>
      </w:r>
    </w:p>
    <w:p w14:paraId="270FE7F0" w14:textId="26D3969D" w:rsidR="006E421E" w:rsidRPr="004E17EF" w:rsidRDefault="006E421E" w:rsidP="006E421E">
      <w:pPr>
        <w:pStyle w:val="NormalHanging12a"/>
      </w:pPr>
      <w:r w:rsidRPr="004E17EF">
        <w:t>C.</w:t>
      </w:r>
      <w:r w:rsidRPr="004E17EF">
        <w:tab/>
        <w:t xml:space="preserve">mając na uwadze, że </w:t>
      </w:r>
      <w:proofErr w:type="spellStart"/>
      <w:r w:rsidRPr="004E17EF">
        <w:t>Siegbert</w:t>
      </w:r>
      <w:proofErr w:type="spellEnd"/>
      <w:r w:rsidRPr="004E17EF">
        <w:t xml:space="preserve"> Frank </w:t>
      </w:r>
      <w:proofErr w:type="spellStart"/>
      <w:r w:rsidRPr="004E17EF">
        <w:t>Droese</w:t>
      </w:r>
      <w:proofErr w:type="spellEnd"/>
      <w:r w:rsidRPr="004E17EF">
        <w:t xml:space="preserve"> został wybrany do Parlamentu Europejskiego w wyborach europejskich w czerwcu 2024 r.; mając na uwadze, że nie był posłem do Parlamentu Europejskiego w chwili wydania wyroku skazującego przez sąd rejonowy w Dreźnie 26 kwietnia 2024 r. ani w chwili wniesienia apelacji od tego wyroku; mając na uwadze, że w następstwie wyboru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proofErr w:type="spellEnd"/>
      <w:r w:rsidRPr="004E17EF">
        <w:t xml:space="preserve"> do Parlamentu Europejskiego i zgodnie z wnioskiem</w:t>
      </w:r>
      <w:r w:rsidR="00D51815">
        <w:t xml:space="preserve"> sądu krajowego w Dreźnie</w:t>
      </w:r>
      <w:r w:rsidRPr="004E17EF">
        <w:t xml:space="preserve"> prowadzenie postępowania odwoławczego wymaga uchylenia immunitetu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proofErr w:type="spellEnd"/>
      <w:r w:rsidRPr="004E17EF">
        <w:t>;</w:t>
      </w:r>
    </w:p>
    <w:p w14:paraId="28419717" w14:textId="77777777" w:rsidR="006E421E" w:rsidRPr="004E17EF" w:rsidRDefault="006E421E" w:rsidP="006E421E">
      <w:pPr>
        <w:pStyle w:val="NormalHanging12a"/>
      </w:pPr>
      <w:bookmarkStart w:id="8" w:name="_Hlk232522246"/>
      <w:r w:rsidRPr="004E17EF">
        <w:t>D.</w:t>
      </w:r>
      <w:r w:rsidRPr="004E17EF">
        <w:tab/>
        <w:t xml:space="preserve">mając na uwadze, że czyny stanowiące podstawę zarzutów miały miejsce, zanim </w:t>
      </w:r>
      <w:proofErr w:type="spellStart"/>
      <w:r w:rsidRPr="004E17EF">
        <w:t>Siegbert</w:t>
      </w:r>
      <w:proofErr w:type="spellEnd"/>
      <w:r w:rsidRPr="004E17EF">
        <w:t xml:space="preserve"> Frank </w:t>
      </w:r>
      <w:proofErr w:type="spellStart"/>
      <w:r w:rsidRPr="004E17EF">
        <w:t>Droese</w:t>
      </w:r>
      <w:proofErr w:type="spellEnd"/>
      <w:r w:rsidRPr="004E17EF">
        <w:t xml:space="preserve"> został posłem do Parlamentu Europejskiego, w związku z czym nie stanowią one wyrażonej przez niego opinii ani stanowiska zajętego przez niego w głosowaniu w czasie wykonywania obowiązków służbowych w rozumieniu art. 8 Protokołu nr 7 w sprawie przywilejów i immunitetów Unii Europejskiej, a późniejszy wniosek o uchylenie jego immunitetu nie jest związany z taką opinią lub takim stanowiskiem;</w:t>
      </w:r>
    </w:p>
    <w:bookmarkEnd w:id="8"/>
    <w:p w14:paraId="774E09F8" w14:textId="77777777" w:rsidR="006E421E" w:rsidRPr="004E17EF" w:rsidRDefault="006E421E" w:rsidP="006E421E">
      <w:pPr>
        <w:pStyle w:val="NormalHanging12a"/>
      </w:pPr>
      <w:r w:rsidRPr="004E17EF">
        <w:t>E.</w:t>
      </w:r>
      <w:r w:rsidRPr="004E17EF">
        <w:tab/>
        <w:t>mając na uwadze, że zgodnie z art. 9 akapit pierwszy lit. a) Protokołu nr 7 w sprawie przywilejów i immunitetów Unii Europejskiej podczas sesji Parlamentu Europejskiego jego posłowie korzystają na terytorium swoich państw członkowskich z immunitetów przyznawanych członkom parlamentu ich państwa;</w:t>
      </w:r>
    </w:p>
    <w:p w14:paraId="07E16D47" w14:textId="77777777" w:rsidR="006E421E" w:rsidRPr="004E17EF" w:rsidRDefault="006E421E" w:rsidP="006E421E">
      <w:pPr>
        <w:pStyle w:val="NormalHanging12a"/>
      </w:pPr>
      <w:r w:rsidRPr="004E17EF">
        <w:t>F.</w:t>
      </w:r>
      <w:r w:rsidRPr="004E17EF">
        <w:tab/>
        <w:t>mając na uwadze, że art. 46 ust. 2, 3 i 4 ustawy zasadniczej Republiki Federalnej Niemiec stanowi, co następuje:</w:t>
      </w:r>
    </w:p>
    <w:p w14:paraId="6E29EBC5" w14:textId="77777777" w:rsidR="006E421E" w:rsidRPr="004E17EF" w:rsidRDefault="006E421E" w:rsidP="006E421E">
      <w:pPr>
        <w:pStyle w:val="NormalHanging12a"/>
        <w:ind w:left="1134"/>
      </w:pPr>
      <w:r w:rsidRPr="004E17EF">
        <w:t>„2)</w:t>
      </w:r>
      <w:r w:rsidRPr="004E17EF">
        <w:tab/>
        <w:t>Poseł nie może zostać pociągnięty do odpowiedzialności ani zatrzymany za czyn karalny bez zgody Bundestagu, chyba że zostanie ujęty w trakcie popełniania czynu lub w ciągu następnej doby.</w:t>
      </w:r>
    </w:p>
    <w:p w14:paraId="5946E07F" w14:textId="686C66CB" w:rsidR="006E421E" w:rsidRPr="004E17EF" w:rsidRDefault="006E421E" w:rsidP="006E421E">
      <w:pPr>
        <w:pStyle w:val="NormalHanging12a"/>
        <w:ind w:left="1134"/>
      </w:pPr>
      <w:r w:rsidRPr="004E17EF">
        <w:t>3)</w:t>
      </w:r>
      <w:r w:rsidRPr="004E17EF">
        <w:tab/>
        <w:t xml:space="preserve">Zgoda Bundestagu wymagana jest również w celu jakiegokolwiek ograniczenia wolności osobistej posła lub w celu wszczęcia postępowania przeciwko posłowi na </w:t>
      </w:r>
      <w:r w:rsidR="00D51815">
        <w:t>podstawie</w:t>
      </w:r>
      <w:r w:rsidRPr="004E17EF">
        <w:t xml:space="preserve"> art. 18.</w:t>
      </w:r>
    </w:p>
    <w:p w14:paraId="0F1F52C3" w14:textId="77777777" w:rsidR="006E421E" w:rsidRPr="004E17EF" w:rsidRDefault="006E421E" w:rsidP="006E421E">
      <w:pPr>
        <w:pStyle w:val="NormalHanging12a"/>
        <w:ind w:left="1134"/>
      </w:pPr>
      <w:r w:rsidRPr="004E17EF">
        <w:t>4)</w:t>
      </w:r>
      <w:r w:rsidRPr="004E17EF">
        <w:tab/>
        <w:t>Na wniosek Bundestagu zostają zawieszone wszelkie postępowania karne przeciwko posłowi lub wszelkie postępowania na podstawie art. 18 oraz wszelkie zatrzymania lub inne ograniczenia jego wolności osobistej”;</w:t>
      </w:r>
    </w:p>
    <w:p w14:paraId="3FB6C886" w14:textId="77777777" w:rsidR="006E421E" w:rsidRPr="004E17EF" w:rsidRDefault="006E421E" w:rsidP="006E421E">
      <w:pPr>
        <w:pStyle w:val="NormalHanging12a"/>
      </w:pPr>
      <w:r w:rsidRPr="004E17EF">
        <w:t>G.</w:t>
      </w:r>
      <w:r w:rsidRPr="004E17EF">
        <w:tab/>
      </w:r>
      <w:bookmarkStart w:id="9" w:name="_Hlk210920707"/>
      <w:r w:rsidRPr="004E17EF">
        <w:t xml:space="preserve">mając na uwadze, że immunitet przewidziany w Protokole nr 7 w sprawie przywilejów i immunitetów Unii Europejskiej ma chronić Parlament i posłów do niego przed </w:t>
      </w:r>
      <w:r w:rsidRPr="004E17EF">
        <w:lastRenderedPageBreak/>
        <w:t>postępowaniami sądowymi w związku z działaniami podejmowanymi w ramach wykonywania obowiązków parlamentarnych i niemożliwych do oddzielenia od tych obowiązków;</w:t>
      </w:r>
      <w:bookmarkEnd w:id="9"/>
    </w:p>
    <w:p w14:paraId="623793AB" w14:textId="77777777" w:rsidR="006E421E" w:rsidRPr="004E17EF" w:rsidRDefault="006E421E" w:rsidP="006E421E">
      <w:pPr>
        <w:pStyle w:val="NormalHanging12a"/>
      </w:pPr>
      <w:r w:rsidRPr="004E17EF">
        <w:t>H.</w:t>
      </w:r>
      <w:r w:rsidRPr="004E17EF">
        <w:tab/>
        <w:t xml:space="preserve">mając na uwadze, że zgodnie z art. 5 ust. 2 Regulaminu immunitet parlamentarny nie jest osobistym przywilejem posła, lecz gwarancją niezależności Parlamentu jako całości oraz jego posłów; </w:t>
      </w:r>
    </w:p>
    <w:p w14:paraId="092902E8" w14:textId="77777777" w:rsidR="006E421E" w:rsidRPr="004E17EF" w:rsidRDefault="006E421E" w:rsidP="006E421E">
      <w:pPr>
        <w:pStyle w:val="NormalHanging12a"/>
      </w:pPr>
      <w:r w:rsidRPr="004E17EF">
        <w:t>I.</w:t>
      </w:r>
      <w:r w:rsidRPr="004E17EF">
        <w:tab/>
        <w:t>mając na uwadze, że, z jednej strony, Parlamentu nie można uznawać za sąd, a z drugiej – że posła nie można uznawać za „oskarżonego” w kontekście procedury uchylenia immunitetu</w:t>
      </w:r>
      <w:r w:rsidRPr="004E17EF">
        <w:rPr>
          <w:rStyle w:val="FootnoteReference"/>
        </w:rPr>
        <w:footnoteReference w:id="2"/>
      </w:r>
      <w:r w:rsidRPr="004E17EF">
        <w:t>;</w:t>
      </w:r>
    </w:p>
    <w:p w14:paraId="05613475" w14:textId="77777777" w:rsidR="006E421E" w:rsidRPr="004E17EF" w:rsidRDefault="006E421E" w:rsidP="006E421E">
      <w:pPr>
        <w:pStyle w:val="NormalHanging12a"/>
      </w:pPr>
      <w:r w:rsidRPr="004E17EF">
        <w:t>J.</w:t>
      </w:r>
      <w:r w:rsidRPr="004E17EF">
        <w:tab/>
        <w:t xml:space="preserve">mając na uwadze, że wydaje się, iż w tym przypadku nie można przyjąć istnienia </w:t>
      </w:r>
      <w:proofErr w:type="spellStart"/>
      <w:r w:rsidRPr="004E17EF">
        <w:rPr>
          <w:i/>
          <w:iCs/>
        </w:rPr>
        <w:t>fumus</w:t>
      </w:r>
      <w:proofErr w:type="spellEnd"/>
      <w:r w:rsidRPr="004E17EF">
        <w:rPr>
          <w:i/>
          <w:iCs/>
        </w:rPr>
        <w:t xml:space="preserve"> </w:t>
      </w:r>
      <w:proofErr w:type="spellStart"/>
      <w:r w:rsidRPr="004E17EF">
        <w:rPr>
          <w:i/>
          <w:iCs/>
        </w:rPr>
        <w:t>persecutionis</w:t>
      </w:r>
      <w:proofErr w:type="spellEnd"/>
      <w:r w:rsidRPr="004E17EF">
        <w:t>, czyli nie można uznać, że u podstaw postępowania sądowego leży zamiar zaszkodzenia działalności politycznej posła jako posła do Parlamentu Europejskiego, a tym samym niezależności Parlamentu;</w:t>
      </w:r>
    </w:p>
    <w:p w14:paraId="7D262C7D" w14:textId="77777777" w:rsidR="006E421E" w:rsidRPr="004E17EF" w:rsidRDefault="006E421E" w:rsidP="006E421E">
      <w:pPr>
        <w:pStyle w:val="NormalHanging12a"/>
      </w:pPr>
      <w:r w:rsidRPr="004E17EF">
        <w:t>1.</w:t>
      </w:r>
      <w:r w:rsidRPr="004E17EF">
        <w:tab/>
        <w:t xml:space="preserve">postanawia uchylić immunitet </w:t>
      </w:r>
      <w:proofErr w:type="spellStart"/>
      <w:r w:rsidRPr="004E17EF">
        <w:t>Siegberta</w:t>
      </w:r>
      <w:proofErr w:type="spellEnd"/>
      <w:r w:rsidRPr="004E17EF">
        <w:t xml:space="preserve"> Franka </w:t>
      </w:r>
      <w:proofErr w:type="spellStart"/>
      <w:r w:rsidRPr="004E17EF">
        <w:t>Droesego</w:t>
      </w:r>
      <w:proofErr w:type="spellEnd"/>
      <w:r w:rsidRPr="004E17EF">
        <w:t>;</w:t>
      </w:r>
    </w:p>
    <w:p w14:paraId="3C85BC42" w14:textId="11E4DD9A" w:rsidR="004E17EF" w:rsidRPr="004E17EF" w:rsidRDefault="006E421E" w:rsidP="004E17EF">
      <w:pPr>
        <w:pStyle w:val="NormalHanging12a"/>
      </w:pPr>
      <w:r w:rsidRPr="004E17EF">
        <w:t>2.</w:t>
      </w:r>
      <w:r w:rsidRPr="004E17EF">
        <w:tab/>
        <w:t xml:space="preserve">zobowiązuje swoją przewodniczącą do bezzwłocznego przekazania niniejszej decyzji i sprawozdania właściwej komisji właściwemu organowi Republiki Federalnej Niemiec oraz </w:t>
      </w:r>
      <w:proofErr w:type="spellStart"/>
      <w:r w:rsidRPr="004E17EF">
        <w:t>Siegbertowi</w:t>
      </w:r>
      <w:proofErr w:type="spellEnd"/>
      <w:r w:rsidRPr="004E17EF">
        <w:t xml:space="preserve"> Frankowi </w:t>
      </w:r>
      <w:proofErr w:type="spellStart"/>
      <w:r w:rsidRPr="004E17EF">
        <w:t>Droesemu</w:t>
      </w:r>
      <w:proofErr w:type="spellEnd"/>
      <w:r w:rsidRPr="004E17EF">
        <w:t>.</w:t>
      </w:r>
    </w:p>
    <w:p w14:paraId="6DF3F5DF" w14:textId="3B946C50" w:rsidR="00E365E1" w:rsidRPr="004E17EF" w:rsidRDefault="00E365E1" w:rsidP="00701C29"/>
    <w:sectPr w:rsidR="00E365E1" w:rsidRPr="004E17EF" w:rsidSect="004E17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509A7" w14:textId="77777777" w:rsidR="00701C29" w:rsidRPr="004E17EF" w:rsidRDefault="00701C29">
      <w:r w:rsidRPr="004E17EF">
        <w:separator/>
      </w:r>
    </w:p>
  </w:endnote>
  <w:endnote w:type="continuationSeparator" w:id="0">
    <w:p w14:paraId="35D18C72" w14:textId="77777777" w:rsidR="00701C29" w:rsidRPr="004E17EF" w:rsidRDefault="00701C29">
      <w:r w:rsidRPr="004E17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F9BA" w14:textId="77777777" w:rsidR="00064002" w:rsidRPr="004E17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F0EF" w14:textId="77777777" w:rsidR="00064002" w:rsidRPr="004E17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F04C" w14:textId="77777777" w:rsidR="00064002" w:rsidRPr="004E17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461A" w14:textId="77777777" w:rsidR="00701C29" w:rsidRPr="004E17EF" w:rsidRDefault="00701C29">
      <w:r w:rsidRPr="004E17EF">
        <w:separator/>
      </w:r>
    </w:p>
  </w:footnote>
  <w:footnote w:type="continuationSeparator" w:id="0">
    <w:p w14:paraId="77D0C314" w14:textId="77777777" w:rsidR="00701C29" w:rsidRPr="004E17EF" w:rsidRDefault="00701C29">
      <w:r w:rsidRPr="004E17EF">
        <w:continuationSeparator/>
      </w:r>
    </w:p>
  </w:footnote>
  <w:footnote w:id="1">
    <w:p w14:paraId="5794253C" w14:textId="33CDF99E" w:rsidR="006E421E" w:rsidRPr="004E17EF" w:rsidRDefault="006E421E" w:rsidP="004E17EF">
      <w:pPr>
        <w:pStyle w:val="FootnoteText"/>
        <w:ind w:left="567" w:hanging="567"/>
        <w:rPr>
          <w:sz w:val="24"/>
          <w:lang w:val="pl-PL"/>
        </w:rPr>
      </w:pPr>
      <w:r w:rsidRPr="004E17EF">
        <w:rPr>
          <w:rStyle w:val="FootnoteReference"/>
          <w:sz w:val="24"/>
          <w:lang w:val="pl-PL"/>
        </w:rPr>
        <w:footnoteRef/>
      </w:r>
      <w:r w:rsidR="004E17EF" w:rsidRPr="004E17EF">
        <w:rPr>
          <w:sz w:val="24"/>
          <w:lang w:val="pl-PL"/>
        </w:rPr>
        <w:t xml:space="preserve"> </w:t>
      </w:r>
      <w:r w:rsidR="004E17EF" w:rsidRPr="004E17EF">
        <w:rPr>
          <w:sz w:val="24"/>
          <w:lang w:val="pl-PL"/>
        </w:rPr>
        <w:tab/>
      </w:r>
      <w:r w:rsidRPr="004E17EF">
        <w:rPr>
          <w:sz w:val="24"/>
          <w:lang w:val="pl-PL"/>
        </w:rPr>
        <w:t xml:space="preserve">Wyrok Trybunału Sprawiedliwości z 21 października 2008 r., </w:t>
      </w:r>
      <w:proofErr w:type="spellStart"/>
      <w:r w:rsidRPr="004E17EF">
        <w:rPr>
          <w:i/>
          <w:sz w:val="24"/>
          <w:lang w:val="pl-PL"/>
        </w:rPr>
        <w:t>Marra</w:t>
      </w:r>
      <w:proofErr w:type="spellEnd"/>
      <w:r w:rsidRPr="004E17EF">
        <w:rPr>
          <w:i/>
          <w:sz w:val="24"/>
          <w:lang w:val="pl-PL"/>
        </w:rPr>
        <w:t xml:space="preserve">/De </w:t>
      </w:r>
      <w:proofErr w:type="spellStart"/>
      <w:r w:rsidRPr="004E17EF">
        <w:rPr>
          <w:i/>
          <w:sz w:val="24"/>
          <w:lang w:val="pl-PL"/>
        </w:rPr>
        <w:t>Gregorio</w:t>
      </w:r>
      <w:proofErr w:type="spellEnd"/>
      <w:r w:rsidRPr="004E17EF">
        <w:rPr>
          <w:i/>
          <w:sz w:val="24"/>
          <w:lang w:val="pl-PL"/>
        </w:rPr>
        <w:t xml:space="preserve"> i </w:t>
      </w:r>
      <w:proofErr w:type="spellStart"/>
      <w:r w:rsidRPr="004E17EF">
        <w:rPr>
          <w:i/>
          <w:sz w:val="24"/>
          <w:lang w:val="pl-PL"/>
        </w:rPr>
        <w:t>Clemente</w:t>
      </w:r>
      <w:proofErr w:type="spellEnd"/>
      <w:r w:rsidRPr="004E17EF">
        <w:rPr>
          <w:sz w:val="24"/>
          <w:lang w:val="pl-PL"/>
        </w:rPr>
        <w:t xml:space="preserve">, C-200/07 i C-201/07, ECLI:EU:C:2008:579; wyrok Sądu z 19 marca 2010 r., </w:t>
      </w:r>
      <w:proofErr w:type="spellStart"/>
      <w:r w:rsidRPr="004E17EF">
        <w:rPr>
          <w:i/>
          <w:sz w:val="24"/>
          <w:lang w:val="pl-PL"/>
        </w:rPr>
        <w:t>Gollnisch</w:t>
      </w:r>
      <w:proofErr w:type="spellEnd"/>
      <w:r w:rsidRPr="004E17EF">
        <w:rPr>
          <w:sz w:val="24"/>
          <w:lang w:val="pl-PL"/>
        </w:rPr>
        <w:t>/</w:t>
      </w:r>
      <w:r w:rsidRPr="004E17EF">
        <w:rPr>
          <w:i/>
          <w:sz w:val="24"/>
          <w:lang w:val="pl-PL"/>
        </w:rPr>
        <w:t>Parlament</w:t>
      </w:r>
      <w:r w:rsidRPr="004E17EF">
        <w:rPr>
          <w:sz w:val="24"/>
          <w:lang w:val="pl-PL"/>
        </w:rPr>
        <w:t xml:space="preserve">, T-42/06, ECLI:EU:T:2010:102; wyrok Trybunału Sprawiedliwości z 6 września 2011 r., </w:t>
      </w:r>
      <w:proofErr w:type="spellStart"/>
      <w:r w:rsidRPr="004E17EF">
        <w:rPr>
          <w:i/>
          <w:sz w:val="24"/>
          <w:lang w:val="pl-PL"/>
        </w:rPr>
        <w:t>Patriciello</w:t>
      </w:r>
      <w:proofErr w:type="spellEnd"/>
      <w:r w:rsidRPr="004E17EF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4E17EF">
        <w:rPr>
          <w:i/>
          <w:sz w:val="24"/>
          <w:lang w:val="pl-PL"/>
        </w:rPr>
        <w:t>Gollnisch</w:t>
      </w:r>
      <w:proofErr w:type="spellEnd"/>
      <w:r w:rsidRPr="004E17EF">
        <w:rPr>
          <w:sz w:val="24"/>
          <w:lang w:val="pl-PL"/>
        </w:rPr>
        <w:t>/</w:t>
      </w:r>
      <w:r w:rsidRPr="004E17EF">
        <w:rPr>
          <w:i/>
          <w:sz w:val="24"/>
          <w:lang w:val="pl-PL"/>
        </w:rPr>
        <w:t>Parlament,</w:t>
      </w:r>
      <w:r w:rsidRPr="004E17EF">
        <w:rPr>
          <w:sz w:val="24"/>
          <w:lang w:val="pl-PL"/>
        </w:rPr>
        <w:t xml:space="preserve"> T-346/11 i T-347/11, ECLI:EU:T:2013:23; wyrok Trybunału Sprawiedliwości z 19 grudnia 2019 r., </w:t>
      </w:r>
      <w:proofErr w:type="spellStart"/>
      <w:r w:rsidRPr="004E17EF">
        <w:rPr>
          <w:i/>
          <w:sz w:val="24"/>
          <w:lang w:val="pl-PL"/>
        </w:rPr>
        <w:t>Junqueras</w:t>
      </w:r>
      <w:proofErr w:type="spellEnd"/>
      <w:r w:rsidRPr="004E17EF">
        <w:rPr>
          <w:i/>
          <w:sz w:val="24"/>
          <w:lang w:val="pl-PL"/>
        </w:rPr>
        <w:t xml:space="preserve"> </w:t>
      </w:r>
      <w:proofErr w:type="spellStart"/>
      <w:r w:rsidRPr="004E17EF">
        <w:rPr>
          <w:i/>
          <w:sz w:val="24"/>
          <w:lang w:val="pl-PL"/>
        </w:rPr>
        <w:t>Vies</w:t>
      </w:r>
      <w:proofErr w:type="spellEnd"/>
      <w:r w:rsidRPr="004E17EF">
        <w:rPr>
          <w:sz w:val="24"/>
          <w:lang w:val="pl-PL"/>
        </w:rPr>
        <w:t>, C-502/19, ECLI:EU:C:2019:1115.</w:t>
      </w:r>
    </w:p>
  </w:footnote>
  <w:footnote w:id="2">
    <w:p w14:paraId="69655020" w14:textId="657FDE06" w:rsidR="006E421E" w:rsidRPr="004E17EF" w:rsidRDefault="006E421E" w:rsidP="004E17EF">
      <w:pPr>
        <w:pStyle w:val="FootnoteText"/>
        <w:ind w:left="567" w:hanging="567"/>
        <w:rPr>
          <w:sz w:val="24"/>
          <w:lang w:val="pl-PL"/>
        </w:rPr>
      </w:pPr>
      <w:r w:rsidRPr="004E17EF">
        <w:rPr>
          <w:rStyle w:val="FootnoteReference"/>
          <w:sz w:val="24"/>
          <w:lang w:val="pl-PL"/>
        </w:rPr>
        <w:footnoteRef/>
      </w:r>
      <w:r w:rsidR="004E17EF" w:rsidRPr="004E17EF">
        <w:rPr>
          <w:sz w:val="24"/>
          <w:lang w:val="pl-PL"/>
        </w:rPr>
        <w:t xml:space="preserve"> </w:t>
      </w:r>
      <w:r w:rsidR="004E17EF" w:rsidRPr="004E17EF">
        <w:rPr>
          <w:sz w:val="24"/>
          <w:lang w:val="pl-PL"/>
        </w:rPr>
        <w:tab/>
      </w:r>
      <w:r w:rsidRPr="004E17EF">
        <w:rPr>
          <w:sz w:val="24"/>
          <w:lang w:val="pl-PL"/>
        </w:rPr>
        <w:t xml:space="preserve">Wyrok Sądu z 30 kwietnia 2019 r., </w:t>
      </w:r>
      <w:proofErr w:type="spellStart"/>
      <w:r w:rsidRPr="004E17EF">
        <w:rPr>
          <w:i/>
          <w:iCs/>
          <w:sz w:val="24"/>
          <w:lang w:val="pl-PL"/>
        </w:rPr>
        <w:t>Briois</w:t>
      </w:r>
      <w:proofErr w:type="spellEnd"/>
      <w:r w:rsidRPr="004E17EF">
        <w:rPr>
          <w:i/>
          <w:iCs/>
          <w:sz w:val="24"/>
          <w:lang w:val="pl-PL"/>
        </w:rPr>
        <w:t>/Parlament</w:t>
      </w:r>
      <w:r w:rsidRPr="004E17EF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0ADE" w14:textId="77777777" w:rsidR="00064002" w:rsidRPr="004E17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BF0E" w14:textId="77777777" w:rsidR="00064002" w:rsidRPr="004E17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E941" w14:textId="77777777" w:rsidR="00064002" w:rsidRPr="004E17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5049017">
    <w:abstractNumId w:val="9"/>
  </w:num>
  <w:num w:numId="2" w16cid:durableId="2055495543">
    <w:abstractNumId w:val="9"/>
  </w:num>
  <w:num w:numId="3" w16cid:durableId="795609453">
    <w:abstractNumId w:val="7"/>
  </w:num>
  <w:num w:numId="4" w16cid:durableId="336539021">
    <w:abstractNumId w:val="7"/>
  </w:num>
  <w:num w:numId="5" w16cid:durableId="45227599">
    <w:abstractNumId w:val="6"/>
  </w:num>
  <w:num w:numId="6" w16cid:durableId="1056397274">
    <w:abstractNumId w:val="6"/>
  </w:num>
  <w:num w:numId="7" w16cid:durableId="1956718754">
    <w:abstractNumId w:val="5"/>
  </w:num>
  <w:num w:numId="8" w16cid:durableId="491021009">
    <w:abstractNumId w:val="5"/>
  </w:num>
  <w:num w:numId="9" w16cid:durableId="362706778">
    <w:abstractNumId w:val="4"/>
  </w:num>
  <w:num w:numId="10" w16cid:durableId="1776973650">
    <w:abstractNumId w:val="4"/>
  </w:num>
  <w:num w:numId="11" w16cid:durableId="198200327">
    <w:abstractNumId w:val="8"/>
  </w:num>
  <w:num w:numId="12" w16cid:durableId="759907989">
    <w:abstractNumId w:val="8"/>
  </w:num>
  <w:num w:numId="13" w16cid:durableId="751000948">
    <w:abstractNumId w:val="3"/>
  </w:num>
  <w:num w:numId="14" w16cid:durableId="1490709797">
    <w:abstractNumId w:val="3"/>
  </w:num>
  <w:num w:numId="15" w16cid:durableId="1894151888">
    <w:abstractNumId w:val="2"/>
  </w:num>
  <w:num w:numId="16" w16cid:durableId="1457286505">
    <w:abstractNumId w:val="2"/>
  </w:num>
  <w:num w:numId="17" w16cid:durableId="253711180">
    <w:abstractNumId w:val="1"/>
  </w:num>
  <w:num w:numId="18" w16cid:durableId="1813252682">
    <w:abstractNumId w:val="1"/>
  </w:num>
  <w:num w:numId="19" w16cid:durableId="114913922">
    <w:abstractNumId w:val="0"/>
  </w:num>
  <w:num w:numId="20" w16cid:durableId="1535535145">
    <w:abstractNumId w:val="0"/>
  </w:num>
  <w:num w:numId="21" w16cid:durableId="1134371065">
    <w:abstractNumId w:val="9"/>
  </w:num>
  <w:num w:numId="22" w16cid:durableId="636374324">
    <w:abstractNumId w:val="7"/>
  </w:num>
  <w:num w:numId="23" w16cid:durableId="657344898">
    <w:abstractNumId w:val="6"/>
  </w:num>
  <w:num w:numId="24" w16cid:durableId="434400691">
    <w:abstractNumId w:val="5"/>
  </w:num>
  <w:num w:numId="25" w16cid:durableId="1143427729">
    <w:abstractNumId w:val="4"/>
  </w:num>
  <w:num w:numId="26" w16cid:durableId="664430697">
    <w:abstractNumId w:val="8"/>
  </w:num>
  <w:num w:numId="27" w16cid:durableId="1716999731">
    <w:abstractNumId w:val="3"/>
  </w:num>
  <w:num w:numId="28" w16cid:durableId="345833811">
    <w:abstractNumId w:val="2"/>
  </w:num>
  <w:num w:numId="29" w16cid:durableId="1559778992">
    <w:abstractNumId w:val="1"/>
  </w:num>
  <w:num w:numId="30" w16cid:durableId="2028216764">
    <w:abstractNumId w:val="0"/>
  </w:num>
  <w:num w:numId="31" w16cid:durableId="1830512769">
    <w:abstractNumId w:val="9"/>
  </w:num>
  <w:num w:numId="32" w16cid:durableId="1211847098">
    <w:abstractNumId w:val="7"/>
  </w:num>
  <w:num w:numId="33" w16cid:durableId="521669933">
    <w:abstractNumId w:val="6"/>
  </w:num>
  <w:num w:numId="34" w16cid:durableId="341858528">
    <w:abstractNumId w:val="5"/>
  </w:num>
  <w:num w:numId="35" w16cid:durableId="18556709">
    <w:abstractNumId w:val="4"/>
  </w:num>
  <w:num w:numId="36" w16cid:durableId="703599798">
    <w:abstractNumId w:val="8"/>
  </w:num>
  <w:num w:numId="37" w16cid:durableId="1634208993">
    <w:abstractNumId w:val="3"/>
  </w:num>
  <w:num w:numId="38" w16cid:durableId="1953366831">
    <w:abstractNumId w:val="2"/>
  </w:num>
  <w:num w:numId="39" w16cid:durableId="221718171">
    <w:abstractNumId w:val="1"/>
  </w:num>
  <w:num w:numId="40" w16cid:durableId="1124695509">
    <w:abstractNumId w:val="0"/>
  </w:num>
  <w:num w:numId="41" w16cid:durableId="1457067474">
    <w:abstractNumId w:val="10"/>
  </w:num>
  <w:num w:numId="42" w16cid:durableId="1759135363">
    <w:abstractNumId w:val="10"/>
  </w:num>
  <w:num w:numId="43" w16cid:durableId="1476723787">
    <w:abstractNumId w:val="10"/>
  </w:num>
  <w:num w:numId="44" w16cid:durableId="1964267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PL"/>
    <w:docVar w:name="dvnumam" w:val="0"/>
    <w:docVar w:name="dvpe" w:val="789.054"/>
    <w:docVar w:name="dvrapporteur" w:val="Sprawozdawca: "/>
    <w:docVar w:name="dvtitre" w:val="Decyzja Parlamentu Europejskiego z dnia  2026 r. w sprawie wniosku o uchylenie immunitetu Siegberta Franka Droesego(2026/2019(IMM))"/>
  </w:docVars>
  <w:rsids>
    <w:rsidRoot w:val="00701C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90E"/>
    <w:rsid w:val="002624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7EF"/>
    <w:rsid w:val="0050519A"/>
    <w:rsid w:val="005072A1"/>
    <w:rsid w:val="00514517"/>
    <w:rsid w:val="00545827"/>
    <w:rsid w:val="00560270"/>
    <w:rsid w:val="005C2568"/>
    <w:rsid w:val="005F1B17"/>
    <w:rsid w:val="005F73EA"/>
    <w:rsid w:val="006037C0"/>
    <w:rsid w:val="006631B6"/>
    <w:rsid w:val="00680577"/>
    <w:rsid w:val="006E421E"/>
    <w:rsid w:val="006F31B2"/>
    <w:rsid w:val="006F74FA"/>
    <w:rsid w:val="00701C29"/>
    <w:rsid w:val="00714C1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81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84242"/>
  <w15:chartTrackingRefBased/>
  <w15:docId w15:val="{C8A6EAB3-7D0E-41AE-A804-53C4D186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421E"/>
    <w:pPr>
      <w:spacing w:after="240"/>
      <w:ind w:left="567" w:hanging="567"/>
    </w:pPr>
  </w:style>
  <w:style w:type="paragraph" w:customStyle="1" w:styleId="EPComma">
    <w:name w:val="EPComma"/>
    <w:basedOn w:val="Normal"/>
    <w:rsid w:val="006E421E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2026-07-07T11:53:00Z</dcterms:created>
  <dcterms:modified xsi:type="dcterms:W3CDTF">2026-07-07T11:53:00Z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