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2542" w14:paraId="6445E9E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9B7D57" w14:textId="77777777" w:rsidR="00751A4A" w:rsidRPr="00C52542" w:rsidRDefault="00DE0651" w:rsidP="0010095E">
            <w:pPr>
              <w:pStyle w:val="EPName"/>
            </w:pPr>
            <w:r w:rsidRPr="00C52542">
              <w:t xml:space="preserve">Parlamento </w:t>
            </w:r>
            <w:proofErr w:type="gramStart"/>
            <w:r w:rsidRPr="00C52542">
              <w:t>Europeu</w:t>
            </w:r>
            <w:proofErr w:type="gramEnd"/>
          </w:p>
          <w:p w14:paraId="16242928" w14:textId="77777777" w:rsidR="00751A4A" w:rsidRPr="00C525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2542">
              <w:t>2024</w:t>
            </w:r>
            <w:r w:rsidR="00817416" w:rsidRPr="00C52542">
              <w:t>-202</w:t>
            </w:r>
            <w:r w:rsidRPr="00C52542">
              <w:t>9</w:t>
            </w:r>
          </w:p>
        </w:tc>
        <w:tc>
          <w:tcPr>
            <w:tcW w:w="2268" w:type="dxa"/>
            <w:shd w:val="clear" w:color="auto" w:fill="auto"/>
          </w:tcPr>
          <w:p w14:paraId="044BA001" w14:textId="77777777" w:rsidR="00751A4A" w:rsidRPr="00C52542" w:rsidRDefault="00187494" w:rsidP="0010095E">
            <w:pPr>
              <w:pStyle w:val="EPLogo"/>
            </w:pPr>
            <w:r w:rsidRPr="00C52542">
              <w:rPr>
                <w:noProof/>
                <w:lang w:eastAsia="ja-JP"/>
              </w:rPr>
              <w:drawing>
                <wp:inline distT="0" distB="0" distL="0" distR="0" wp14:anchorId="0635549A" wp14:editId="46FB47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2A3A52" w14:textId="77777777" w:rsidR="00D058B8" w:rsidRPr="00C52542" w:rsidRDefault="00D058B8" w:rsidP="004C5D52">
      <w:pPr>
        <w:pStyle w:val="LineTop"/>
      </w:pPr>
    </w:p>
    <w:p w14:paraId="140C56F9" w14:textId="77777777" w:rsidR="00680577" w:rsidRPr="00C52542" w:rsidRDefault="00DE0651" w:rsidP="00680577">
      <w:pPr>
        <w:pStyle w:val="EPBodyTA1"/>
      </w:pPr>
      <w:r w:rsidRPr="00C52542">
        <w:t>TEXTOS APROVADOS</w:t>
      </w:r>
    </w:p>
    <w:p w14:paraId="3871599C" w14:textId="77777777" w:rsidR="00D058B8" w:rsidRPr="00C52542" w:rsidRDefault="00D058B8" w:rsidP="00D058B8">
      <w:pPr>
        <w:pStyle w:val="LineBottom"/>
      </w:pPr>
    </w:p>
    <w:p w14:paraId="6F8796A0" w14:textId="304E0AC4" w:rsidR="00DE0651" w:rsidRPr="00C52542" w:rsidRDefault="00DE0651" w:rsidP="00DE0651">
      <w:pPr>
        <w:pStyle w:val="ATHeading1"/>
      </w:pPr>
      <w:bookmarkStart w:id="0" w:name="TANumber"/>
      <w:r w:rsidRPr="00C52542">
        <w:t>P10_TA(2026)0</w:t>
      </w:r>
      <w:r w:rsidR="00501AB0">
        <w:t>236</w:t>
      </w:r>
      <w:bookmarkEnd w:id="0"/>
    </w:p>
    <w:p w14:paraId="3FAA79FA" w14:textId="77777777" w:rsidR="00DE0651" w:rsidRPr="00C52542" w:rsidRDefault="00DE0651" w:rsidP="00DE0651">
      <w:pPr>
        <w:pStyle w:val="ATHeading2"/>
      </w:pPr>
      <w:bookmarkStart w:id="1" w:name="title"/>
      <w:r w:rsidRPr="00C52542">
        <w:t xml:space="preserve">Pedido de levantamento da imunidade de </w:t>
      </w:r>
      <w:proofErr w:type="spellStart"/>
      <w:r w:rsidRPr="00C52542">
        <w:t>Siegbert</w:t>
      </w:r>
      <w:proofErr w:type="spellEnd"/>
      <w:r w:rsidRPr="00C52542">
        <w:t xml:space="preserve"> Frank </w:t>
      </w:r>
      <w:proofErr w:type="spellStart"/>
      <w:r w:rsidRPr="00C52542">
        <w:t>Droese</w:t>
      </w:r>
      <w:bookmarkEnd w:id="1"/>
      <w:proofErr w:type="spellEnd"/>
    </w:p>
    <w:p w14:paraId="0A163D6C" w14:textId="77777777" w:rsidR="00DE0651" w:rsidRPr="00C52542" w:rsidRDefault="00DE0651" w:rsidP="00DE0651">
      <w:pPr>
        <w:rPr>
          <w:i/>
          <w:vanish/>
        </w:rPr>
      </w:pPr>
      <w:r w:rsidRPr="00C52542">
        <w:rPr>
          <w:i/>
        </w:rPr>
        <w:fldChar w:fldCharType="begin"/>
      </w:r>
      <w:r w:rsidRPr="00C52542">
        <w:rPr>
          <w:i/>
        </w:rPr>
        <w:instrText xml:space="preserve"> TC"(</w:instrText>
      </w:r>
      <w:bookmarkStart w:id="2" w:name="DocNumber"/>
      <w:r w:rsidRPr="00C52542">
        <w:rPr>
          <w:i/>
        </w:rPr>
        <w:instrText>A10-0193/2026</w:instrText>
      </w:r>
      <w:bookmarkEnd w:id="2"/>
      <w:r w:rsidRPr="00C52542">
        <w:rPr>
          <w:i/>
        </w:rPr>
        <w:instrText xml:space="preserve"> - Relator: Adrián Vázquez Lázara)"\l3 \n&gt; \* MERGEFORMAT </w:instrText>
      </w:r>
      <w:r w:rsidRPr="00C52542">
        <w:rPr>
          <w:i/>
        </w:rPr>
        <w:fldChar w:fldCharType="end"/>
      </w:r>
    </w:p>
    <w:p w14:paraId="123F044C" w14:textId="77777777" w:rsidR="00DE0651" w:rsidRPr="00C52542" w:rsidRDefault="00DE0651" w:rsidP="00DE0651">
      <w:pPr>
        <w:rPr>
          <w:vanish/>
        </w:rPr>
      </w:pPr>
      <w:bookmarkStart w:id="3" w:name="Commission"/>
      <w:r w:rsidRPr="00C52542">
        <w:rPr>
          <w:vanish/>
        </w:rPr>
        <w:t>Comissão dos Assuntos Jurídicos</w:t>
      </w:r>
      <w:bookmarkEnd w:id="3"/>
    </w:p>
    <w:p w14:paraId="16948398" w14:textId="77777777" w:rsidR="00DE0651" w:rsidRPr="00C52542" w:rsidRDefault="00DE0651" w:rsidP="00DE0651">
      <w:pPr>
        <w:rPr>
          <w:vanish/>
        </w:rPr>
      </w:pPr>
      <w:bookmarkStart w:id="4" w:name="PE"/>
      <w:r w:rsidRPr="00C52542">
        <w:rPr>
          <w:vanish/>
        </w:rPr>
        <w:t>PE789.054</w:t>
      </w:r>
      <w:bookmarkEnd w:id="4"/>
    </w:p>
    <w:p w14:paraId="5B0DA214" w14:textId="1BBBFFA5" w:rsidR="00DE0651" w:rsidRPr="00C52542" w:rsidRDefault="00DE0651" w:rsidP="00DE0651">
      <w:pPr>
        <w:pStyle w:val="ATHeading3"/>
      </w:pPr>
      <w:bookmarkStart w:id="5" w:name="Sujet"/>
      <w:r w:rsidRPr="00C52542">
        <w:t xml:space="preserve">Decisão do Parlamento Europeu, de </w:t>
      </w:r>
      <w:r w:rsidR="00FD60F6">
        <w:t>7</w:t>
      </w:r>
      <w:r w:rsidRPr="00C52542">
        <w:t xml:space="preserve"> de </w:t>
      </w:r>
      <w:r w:rsidR="00FD60F6">
        <w:t>julho</w:t>
      </w:r>
      <w:r w:rsidRPr="00C52542">
        <w:t xml:space="preserve"> de 2026, sobre o pedido de levantamento da imunidade de </w:t>
      </w:r>
      <w:proofErr w:type="spellStart"/>
      <w:r w:rsidRPr="00C52542">
        <w:t>Siegbert</w:t>
      </w:r>
      <w:proofErr w:type="spellEnd"/>
      <w:r w:rsidRPr="00C52542">
        <w:t xml:space="preserve"> Frank </w:t>
      </w:r>
      <w:proofErr w:type="spellStart"/>
      <w:r w:rsidRPr="00C52542">
        <w:t>Droese</w:t>
      </w:r>
      <w:bookmarkEnd w:id="5"/>
      <w:proofErr w:type="spellEnd"/>
      <w:r w:rsidRPr="00C52542">
        <w:t xml:space="preserve"> </w:t>
      </w:r>
      <w:bookmarkStart w:id="6" w:name="References"/>
      <w:r w:rsidRPr="00C52542">
        <w:t>(2026/2019(IMM))</w:t>
      </w:r>
      <w:bookmarkEnd w:id="6"/>
    </w:p>
    <w:p w14:paraId="06B493A3" w14:textId="77777777" w:rsidR="00B72B6B" w:rsidRPr="00C52542" w:rsidRDefault="00B72B6B" w:rsidP="00B72B6B">
      <w:pPr>
        <w:pStyle w:val="EPComma"/>
      </w:pPr>
      <w:bookmarkStart w:id="7" w:name="TextBodyBegin"/>
      <w:bookmarkEnd w:id="7"/>
      <w:r w:rsidRPr="00C52542">
        <w:rPr>
          <w:i/>
          <w:iCs/>
        </w:rPr>
        <w:t>O Parlamento Europeu</w:t>
      </w:r>
      <w:r w:rsidRPr="00C52542">
        <w:t>,</w:t>
      </w:r>
    </w:p>
    <w:p w14:paraId="58909A59" w14:textId="6428460B" w:rsidR="00B72B6B" w:rsidRPr="00C52542" w:rsidRDefault="00B72B6B" w:rsidP="00784D11">
      <w:pPr>
        <w:pStyle w:val="NormalHanging12a"/>
      </w:pPr>
      <w:r w:rsidRPr="00C52542">
        <w:t>–</w:t>
      </w:r>
      <w:r w:rsidRPr="00C52542">
        <w:tab/>
        <w:t xml:space="preserve">Tendo </w:t>
      </w:r>
      <w:r w:rsidR="00784D11">
        <w:t>em conta o</w:t>
      </w:r>
      <w:r w:rsidRPr="00C52542">
        <w:t xml:space="preserve"> pedido de levantamento da imunidade de </w:t>
      </w:r>
      <w:proofErr w:type="spellStart"/>
      <w:r w:rsidRPr="00C52542">
        <w:t>Siegbert</w:t>
      </w:r>
      <w:proofErr w:type="spellEnd"/>
      <w:r w:rsidRPr="00C52542">
        <w:t xml:space="preserve"> Frank </w:t>
      </w:r>
      <w:proofErr w:type="spellStart"/>
      <w:r w:rsidRPr="00C52542">
        <w:t>Droese</w:t>
      </w:r>
      <w:proofErr w:type="spellEnd"/>
      <w:r w:rsidRPr="00C52542">
        <w:t xml:space="preserve">, </w:t>
      </w:r>
      <w:r w:rsidR="00784D11">
        <w:t xml:space="preserve">recebido </w:t>
      </w:r>
      <w:r w:rsidRPr="00C52542">
        <w:t xml:space="preserve">por carta de 15 de janeiro de 2026 do Ministério Federal da Justiça e da Proteção dos Consumidores alemão, que transmite um pedido do Tribunal Regional de Dresden, de 2 de dezembro de 2025, o qual foi </w:t>
      </w:r>
      <w:r w:rsidR="00440B43">
        <w:t>anunciado</w:t>
      </w:r>
      <w:r w:rsidR="00440B43" w:rsidRPr="00C52542">
        <w:t xml:space="preserve"> </w:t>
      </w:r>
      <w:r w:rsidRPr="00C52542">
        <w:t>em sessão plenária em 11 de fevereiro de 2026,</w:t>
      </w:r>
    </w:p>
    <w:p w14:paraId="3E7E22C5" w14:textId="77777777" w:rsidR="00B72B6B" w:rsidRPr="00C52542" w:rsidRDefault="00B72B6B" w:rsidP="00B72B6B">
      <w:pPr>
        <w:pStyle w:val="NormalHanging12a"/>
      </w:pPr>
      <w:r w:rsidRPr="00C52542">
        <w:t>–</w:t>
      </w:r>
      <w:r w:rsidRPr="00C52542">
        <w:tab/>
        <w:t xml:space="preserve">Tendo em conta que </w:t>
      </w:r>
      <w:proofErr w:type="spellStart"/>
      <w:r w:rsidRPr="00C52542">
        <w:t>Siegbert</w:t>
      </w:r>
      <w:proofErr w:type="spellEnd"/>
      <w:r w:rsidRPr="00C52542">
        <w:t xml:space="preserve"> Frank </w:t>
      </w:r>
      <w:proofErr w:type="spellStart"/>
      <w:r w:rsidRPr="00C52542">
        <w:t>Droese</w:t>
      </w:r>
      <w:proofErr w:type="spellEnd"/>
      <w:r w:rsidRPr="00C52542">
        <w:t xml:space="preserve"> renunciou ao seu direito de audição nos termos do artigo 9.º, n.º 6 do seu Regimento, </w:t>
      </w:r>
    </w:p>
    <w:p w14:paraId="0808C2A0" w14:textId="77777777" w:rsidR="00B72B6B" w:rsidRPr="00C52542" w:rsidRDefault="00B72B6B" w:rsidP="00B72B6B">
      <w:pPr>
        <w:pStyle w:val="NormalHanging12a"/>
      </w:pPr>
      <w:r w:rsidRPr="00C52542">
        <w:t>–</w:t>
      </w:r>
      <w:r w:rsidRPr="00C52542">
        <w:tab/>
        <w:t>Tendo em conta o artigo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14:paraId="531F2C8C" w14:textId="2F80027E" w:rsidR="00B72B6B" w:rsidRPr="00C52542" w:rsidRDefault="00B72B6B" w:rsidP="00B72B6B">
      <w:pPr>
        <w:pStyle w:val="NormalHanging12a"/>
      </w:pPr>
      <w:r w:rsidRPr="00C52542">
        <w:t>–</w:t>
      </w:r>
      <w:r w:rsidRPr="00C52542">
        <w:tab/>
        <w:t>Tendo em conta os Acórdãos proferidos pelo Tribunal de Justiça da União Europeia em 21 de outubro de 2008, 19 de março de 2010, 6 de setembro de 2011, 17 de janeiro de 2013 e 19 de dezembro de 2019</w:t>
      </w:r>
      <w:r w:rsidRPr="00C52542">
        <w:rPr>
          <w:rStyle w:val="FootnoteReference"/>
        </w:rPr>
        <w:footnoteReference w:id="1"/>
      </w:r>
      <w:r w:rsidRPr="00C52542">
        <w:t>,</w:t>
      </w:r>
    </w:p>
    <w:p w14:paraId="6DFCC814" w14:textId="77777777" w:rsidR="00B72B6B" w:rsidRPr="00C52542" w:rsidRDefault="00B72B6B" w:rsidP="00B72B6B">
      <w:pPr>
        <w:pStyle w:val="NormalHanging12a"/>
      </w:pPr>
      <w:r w:rsidRPr="00C52542">
        <w:t>–</w:t>
      </w:r>
      <w:r w:rsidRPr="00C52542">
        <w:tab/>
        <w:t xml:space="preserve">Tendo em conta o artigo 46.º da Lei Fundamental da República Federal da Alemanha, </w:t>
      </w:r>
    </w:p>
    <w:p w14:paraId="1594A393" w14:textId="77777777" w:rsidR="00B72B6B" w:rsidRPr="00C52542" w:rsidRDefault="00B72B6B" w:rsidP="00B72B6B">
      <w:pPr>
        <w:pStyle w:val="NormalHanging12a"/>
      </w:pPr>
      <w:r w:rsidRPr="00C52542">
        <w:t>–</w:t>
      </w:r>
      <w:r w:rsidRPr="00C52542">
        <w:tab/>
        <w:t>Tendo em conta o artigo 5.º, n.º 2, o artigo 6.º, n.º 1, e o artigo 9.º do seu Regimento,</w:t>
      </w:r>
    </w:p>
    <w:p w14:paraId="0253FF12" w14:textId="77777777" w:rsidR="00B72B6B" w:rsidRPr="00C52542" w:rsidRDefault="00B72B6B" w:rsidP="00B72B6B">
      <w:pPr>
        <w:pStyle w:val="NormalHanging12a"/>
      </w:pPr>
      <w:r w:rsidRPr="00C52542">
        <w:lastRenderedPageBreak/>
        <w:t>–</w:t>
      </w:r>
      <w:r w:rsidRPr="00C52542">
        <w:tab/>
        <w:t>Tendo em conta o relatório da Comissão dos Assuntos Jurídicos (A10</w:t>
      </w:r>
      <w:r w:rsidRPr="00C52542">
        <w:noBreakHyphen/>
        <w:t>0193/2026),</w:t>
      </w:r>
    </w:p>
    <w:p w14:paraId="6B6CFFA5" w14:textId="7813F4A7" w:rsidR="00B72B6B" w:rsidRPr="00C52542" w:rsidRDefault="00B72B6B" w:rsidP="00B72B6B">
      <w:pPr>
        <w:pStyle w:val="NormalHanging12a"/>
      </w:pPr>
      <w:r w:rsidRPr="00C52542">
        <w:t>A.</w:t>
      </w:r>
      <w:r w:rsidRPr="00C52542">
        <w:tab/>
        <w:t xml:space="preserve">Considerando que, em 15 de janeiro de 2026, o Ministério Federal da Justiça e da Proteção dos Consumidores alemão transmitiu um pedido do Tribunal Regional de Dresden tendo em vista o levantamento da imunidade de </w:t>
      </w:r>
      <w:proofErr w:type="spellStart"/>
      <w:r w:rsidRPr="00C52542">
        <w:t>Siegbert</w:t>
      </w:r>
      <w:proofErr w:type="spellEnd"/>
      <w:r w:rsidRPr="00C52542">
        <w:t xml:space="preserve"> Frank </w:t>
      </w:r>
      <w:proofErr w:type="spellStart"/>
      <w:r w:rsidRPr="00C52542">
        <w:t>Droese</w:t>
      </w:r>
      <w:proofErr w:type="spellEnd"/>
      <w:r w:rsidRPr="00C52542">
        <w:t>, deputado ao Parlamento Europeu eleito na Alemanha, no contexto de um recurso interposto por este último no âmbito de uma ação penal;</w:t>
      </w:r>
    </w:p>
    <w:p w14:paraId="4F98604B" w14:textId="2FEE5150" w:rsidR="00B72B6B" w:rsidRPr="00C52542" w:rsidRDefault="00B72B6B" w:rsidP="00B72B6B">
      <w:pPr>
        <w:pStyle w:val="NormalHanging12a"/>
      </w:pPr>
      <w:r w:rsidRPr="00C52542">
        <w:t>B.</w:t>
      </w:r>
      <w:r w:rsidRPr="00C52542">
        <w:tab/>
        <w:t xml:space="preserve">Considerando que, por sentença do Tribunal de Primeira Instância de Dresden, de 26 de abril de 2024, </w:t>
      </w:r>
      <w:proofErr w:type="spellStart"/>
      <w:r w:rsidRPr="00C52542">
        <w:t>Siegbert</w:t>
      </w:r>
      <w:proofErr w:type="spellEnd"/>
      <w:r w:rsidRPr="00C52542">
        <w:t xml:space="preserve"> Frank </w:t>
      </w:r>
      <w:proofErr w:type="spellStart"/>
      <w:r w:rsidRPr="00C52542">
        <w:t>Droese</w:t>
      </w:r>
      <w:proofErr w:type="spellEnd"/>
      <w:r w:rsidRPr="00C52542">
        <w:t xml:space="preserve"> foi condenado por dois crimes distintos, tendo</w:t>
      </w:r>
      <w:r w:rsidRPr="00C52542">
        <w:noBreakHyphen/>
        <w:t xml:space="preserve">lhe sido aplicada uma pena de multa; </w:t>
      </w:r>
      <w:r w:rsidR="002B30ED">
        <w:t xml:space="preserve">considerando </w:t>
      </w:r>
      <w:r w:rsidRPr="00C52542">
        <w:t xml:space="preserve">que </w:t>
      </w:r>
      <w:proofErr w:type="spellStart"/>
      <w:r w:rsidRPr="00C52542">
        <w:t>Siegbert</w:t>
      </w:r>
      <w:proofErr w:type="spellEnd"/>
      <w:r w:rsidRPr="00C52542">
        <w:t xml:space="preserve"> Frank </w:t>
      </w:r>
      <w:proofErr w:type="spellStart"/>
      <w:r w:rsidRPr="00C52542">
        <w:t>Droese</w:t>
      </w:r>
      <w:proofErr w:type="spellEnd"/>
      <w:r w:rsidRPr="00C52542">
        <w:t xml:space="preserve"> interpôs recurso dessa decisão por articulado apresentado pelo seu advogado em 3 de maio de 2024; </w:t>
      </w:r>
    </w:p>
    <w:p w14:paraId="23B2F7B0" w14:textId="66671E8D" w:rsidR="00B72B6B" w:rsidRPr="00C52542" w:rsidRDefault="00B72B6B" w:rsidP="00B72B6B">
      <w:pPr>
        <w:pStyle w:val="NormalHanging12a"/>
      </w:pPr>
      <w:r w:rsidRPr="00C52542">
        <w:t>C.</w:t>
      </w:r>
      <w:r w:rsidRPr="00C52542">
        <w:tab/>
        <w:t xml:space="preserve">Considerando que </w:t>
      </w:r>
      <w:proofErr w:type="spellStart"/>
      <w:r w:rsidRPr="00C52542">
        <w:t>Siegbert</w:t>
      </w:r>
      <w:proofErr w:type="spellEnd"/>
      <w:r w:rsidRPr="00C52542">
        <w:t xml:space="preserve"> Frank </w:t>
      </w:r>
      <w:proofErr w:type="spellStart"/>
      <w:r w:rsidRPr="00C52542">
        <w:t>Droese</w:t>
      </w:r>
      <w:proofErr w:type="spellEnd"/>
      <w:r w:rsidRPr="00C52542">
        <w:t xml:space="preserve"> foi eleito deputado ao Parlamento Europeu nas eleições europeias de junho de 2024; </w:t>
      </w:r>
      <w:r w:rsidR="002B30ED">
        <w:t xml:space="preserve">considerando </w:t>
      </w:r>
      <w:r w:rsidRPr="00C52542">
        <w:t>que não era deputado ao Parlamento Europeu quando foi proferida a sentença condenatória do Tribunal de Primeira Instância de Dresden, em 26 de abril de 2024, ou quando foi interposto recurso dessa sentença;</w:t>
      </w:r>
      <w:r w:rsidR="002B30ED">
        <w:t xml:space="preserve"> considerando</w:t>
      </w:r>
      <w:r w:rsidRPr="00C52542">
        <w:t xml:space="preserve"> que, na sequência da eleição de </w:t>
      </w:r>
      <w:proofErr w:type="spellStart"/>
      <w:r w:rsidRPr="00C52542">
        <w:t>Siegbert</w:t>
      </w:r>
      <w:proofErr w:type="spellEnd"/>
      <w:r w:rsidRPr="00C52542">
        <w:t xml:space="preserve"> Frank </w:t>
      </w:r>
      <w:proofErr w:type="spellStart"/>
      <w:r w:rsidRPr="00C52542">
        <w:t>Droese</w:t>
      </w:r>
      <w:proofErr w:type="spellEnd"/>
      <w:r w:rsidRPr="00C52542">
        <w:t xml:space="preserve"> para o Parlamento Europeu, e de acordo com o pedido</w:t>
      </w:r>
      <w:r w:rsidR="002B30ED">
        <w:t xml:space="preserve"> </w:t>
      </w:r>
      <w:r w:rsidR="002B30ED" w:rsidRPr="00C52542">
        <w:t>do Tribunal Regional de Dresden</w:t>
      </w:r>
      <w:r w:rsidRPr="00C52542">
        <w:t xml:space="preserve">, a tramitação do recurso exige o levantamento da imunidade de </w:t>
      </w:r>
      <w:proofErr w:type="spellStart"/>
      <w:r w:rsidRPr="00C52542">
        <w:t>Siegbert</w:t>
      </w:r>
      <w:proofErr w:type="spellEnd"/>
      <w:r w:rsidRPr="00C52542">
        <w:t xml:space="preserve"> Frank </w:t>
      </w:r>
      <w:proofErr w:type="spellStart"/>
      <w:r w:rsidRPr="00C52542">
        <w:t>Droese</w:t>
      </w:r>
      <w:proofErr w:type="spellEnd"/>
      <w:r w:rsidRPr="00C52542">
        <w:t>;</w:t>
      </w:r>
    </w:p>
    <w:p w14:paraId="23D4D7A2" w14:textId="77777777" w:rsidR="00B72B6B" w:rsidRPr="00C52542" w:rsidRDefault="00B72B6B" w:rsidP="00B72B6B">
      <w:pPr>
        <w:pStyle w:val="NormalHanging12a"/>
      </w:pPr>
      <w:bookmarkStart w:id="8" w:name="_Hlk232522246"/>
      <w:r w:rsidRPr="00C52542">
        <w:t>D.</w:t>
      </w:r>
      <w:r w:rsidRPr="00C52542">
        <w:tab/>
        <w:t xml:space="preserve">Considerando que as condutas subjacentes aos alegados crimes ocorreram antes de </w:t>
      </w:r>
      <w:proofErr w:type="spellStart"/>
      <w:r w:rsidRPr="00C52542">
        <w:t>Siegbert</w:t>
      </w:r>
      <w:proofErr w:type="spellEnd"/>
      <w:r w:rsidRPr="00C52542">
        <w:t xml:space="preserve"> Frank </w:t>
      </w:r>
      <w:proofErr w:type="spellStart"/>
      <w:r w:rsidRPr="00C52542">
        <w:t>Droese</w:t>
      </w:r>
      <w:proofErr w:type="spellEnd"/>
      <w:r w:rsidRPr="00C52542">
        <w:t xml:space="preserve"> se ter tornado membro do Parlamento Europeu e que, por conseguinte, as mesmas não constituem uma opinião ou um voto emitido no exercício das suas funções, na aceção do artigo 8.º do Protocolo n.º 7 relativo aos Privilégios e Imunidades da União Europeia, nem o pedido subsequente de levantamento da sua imunidade está relacionado com tal opinião ou voto;</w:t>
      </w:r>
    </w:p>
    <w:bookmarkEnd w:id="8"/>
    <w:p w14:paraId="37611A46" w14:textId="309D90A6" w:rsidR="00B72B6B" w:rsidRPr="00C52542" w:rsidRDefault="00B72B6B" w:rsidP="00B72B6B">
      <w:pPr>
        <w:pStyle w:val="NormalHanging12a"/>
      </w:pPr>
      <w:r w:rsidRPr="00C52542">
        <w:t>E.</w:t>
      </w:r>
      <w:r w:rsidRPr="00C52542">
        <w:tab/>
        <w:t xml:space="preserve">Considerando que o artigo 9.º, primeiro parágrafo, alínea a), do Protocolo n.º 7 relativo aos Privilégios e Imunidades da União Europeia prevê que, enquanto durarem as sessões do Parlamento Europeu, os seus membros beneficiam, no </w:t>
      </w:r>
      <w:r w:rsidR="002B30ED">
        <w:t xml:space="preserve">seu </w:t>
      </w:r>
      <w:r w:rsidRPr="00C52542">
        <w:t xml:space="preserve">território </w:t>
      </w:r>
      <w:r w:rsidR="002B30ED">
        <w:t>nacional</w:t>
      </w:r>
      <w:r w:rsidRPr="00C52542">
        <w:t>, das imunidades reconhecidas aos membros do Parlamento do seu Estado</w:t>
      </w:r>
      <w:r w:rsidRPr="00C52542">
        <w:noBreakHyphen/>
        <w:t>Membro;</w:t>
      </w:r>
    </w:p>
    <w:p w14:paraId="2339C0A7" w14:textId="77777777" w:rsidR="00B72B6B" w:rsidRPr="00C52542" w:rsidRDefault="00B72B6B" w:rsidP="00B72B6B">
      <w:pPr>
        <w:pStyle w:val="NormalHanging12a"/>
      </w:pPr>
      <w:r w:rsidRPr="00C52542">
        <w:t>F.</w:t>
      </w:r>
      <w:r w:rsidRPr="00C52542">
        <w:tab/>
        <w:t>Considerando que o artigo 46.º, n.</w:t>
      </w:r>
      <w:r w:rsidRPr="00C52542">
        <w:rPr>
          <w:vertAlign w:val="superscript"/>
        </w:rPr>
        <w:t>os</w:t>
      </w:r>
      <w:r w:rsidRPr="00C52542">
        <w:t> 2, 3 e 4, da Lei Fundamental da República Federal da Alemanha prevê o seguinte:</w:t>
      </w:r>
    </w:p>
    <w:p w14:paraId="79A09C9C" w14:textId="77777777" w:rsidR="00B72B6B" w:rsidRPr="00C52542" w:rsidRDefault="00B72B6B" w:rsidP="00B72B6B">
      <w:pPr>
        <w:pStyle w:val="NormalHanging12a"/>
        <w:ind w:left="1134"/>
      </w:pPr>
      <w:r w:rsidRPr="00C52542">
        <w:t>«2)</w:t>
      </w:r>
      <w:r w:rsidRPr="00C52542">
        <w:tab/>
        <w:t>Se estiverem em causa atos sujeitos a sanção penal, os deputados só podem ser responsabilizados ou detidos com autorização do Parlamento Federal, exceto em caso de detenção em flagrante delito ou no dia seguinte à prática dos atos em causa.</w:t>
      </w:r>
    </w:p>
    <w:p w14:paraId="21A4F3A0" w14:textId="77777777" w:rsidR="00B72B6B" w:rsidRPr="00C52542" w:rsidRDefault="00B72B6B" w:rsidP="00B72B6B">
      <w:pPr>
        <w:pStyle w:val="NormalHanging12a"/>
        <w:ind w:left="1134"/>
      </w:pPr>
      <w:r w:rsidRPr="00C52542">
        <w:t>3)</w:t>
      </w:r>
      <w:r w:rsidRPr="00C52542">
        <w:tab/>
        <w:t>A autorização do Parlamento Federal é igualmente necessária para qualquer outra restrição da liberdade pessoal dos deputados ou para a abertura de processos contra os mesmos ao abrigo do artigo 18.°</w:t>
      </w:r>
    </w:p>
    <w:p w14:paraId="50230AC7" w14:textId="77777777" w:rsidR="00B72B6B" w:rsidRPr="00C52542" w:rsidRDefault="00B72B6B" w:rsidP="00B72B6B">
      <w:pPr>
        <w:pStyle w:val="NormalHanging12a"/>
        <w:ind w:left="1134"/>
      </w:pPr>
      <w:r w:rsidRPr="00C52542">
        <w:t>4)</w:t>
      </w:r>
      <w:r w:rsidRPr="00C52542">
        <w:tab/>
        <w:t>Qualquer processo penal ou processo ao abrigo do artigo 18.° iniciado contra os deputados, bem como qualquer detenção ou outra restrição das suas liberdades pessoais, devem ser suspensos a pedido do Parlamento Federal»;</w:t>
      </w:r>
    </w:p>
    <w:p w14:paraId="6B616356" w14:textId="77777777" w:rsidR="00B72B6B" w:rsidRPr="00C52542" w:rsidRDefault="00B72B6B" w:rsidP="00B72B6B">
      <w:pPr>
        <w:pStyle w:val="NormalHanging12a"/>
      </w:pPr>
      <w:r w:rsidRPr="00C52542">
        <w:lastRenderedPageBreak/>
        <w:t>G.</w:t>
      </w:r>
      <w:r w:rsidRPr="00C52542">
        <w:tab/>
      </w:r>
      <w:bookmarkStart w:id="9" w:name="_Hlk210920707"/>
      <w:r w:rsidRPr="00C52542">
        <w:t>Considerando que o objetivo da imunidade prevista no Protocolo n.º 7 relativo aos Privilégios e Imunidades da União Europeia é proteger o Parlamento e os seus deputados de processos judiciais relacionados com atividades realizadas no desempenho das suas funções parlamentares e que não podem ser separadas dessas funções;</w:t>
      </w:r>
      <w:bookmarkEnd w:id="9"/>
    </w:p>
    <w:p w14:paraId="122CBB6D" w14:textId="2C01E42B" w:rsidR="00B72B6B" w:rsidRPr="00C52542" w:rsidRDefault="00B72B6B" w:rsidP="00B72B6B">
      <w:pPr>
        <w:pStyle w:val="NormalHanging12a"/>
      </w:pPr>
      <w:r w:rsidRPr="00C52542">
        <w:t>H.</w:t>
      </w:r>
      <w:r w:rsidRPr="00C52542">
        <w:tab/>
        <w:t>Considerando que, nos termos do artigo 5.º, n.º 2, do Regimento, a imunidade parlamentar não é um privilégio pessoal dos deputados, mas sim uma garantia da independência do Parlamento como um todo</w:t>
      </w:r>
      <w:r w:rsidR="00BD11F4">
        <w:t>,</w:t>
      </w:r>
      <w:r w:rsidRPr="00C52542">
        <w:t xml:space="preserve"> e dos seus membros; </w:t>
      </w:r>
    </w:p>
    <w:p w14:paraId="591F0EB3" w14:textId="27C2EC06" w:rsidR="00B72B6B" w:rsidRPr="00C52542" w:rsidRDefault="00B72B6B" w:rsidP="00B72B6B">
      <w:pPr>
        <w:pStyle w:val="NormalHanging12a"/>
      </w:pPr>
      <w:r w:rsidRPr="00C52542">
        <w:t>I.</w:t>
      </w:r>
      <w:r w:rsidRPr="00C52542">
        <w:tab/>
        <w:t xml:space="preserve">Considerando, por um lado, que o Parlamento não pode ser equiparado a um tribunal e que, por outro, o deputado, no </w:t>
      </w:r>
      <w:r w:rsidR="00BD11F4">
        <w:t>âmbito</w:t>
      </w:r>
      <w:r w:rsidR="00BD11F4" w:rsidRPr="00C52542">
        <w:t xml:space="preserve"> </w:t>
      </w:r>
      <w:r w:rsidRPr="00C52542">
        <w:t>de um processo de levantamento da imunidade, não pode ser considerado «arguido»</w:t>
      </w:r>
      <w:r w:rsidRPr="00C52542">
        <w:rPr>
          <w:rStyle w:val="FootnoteReference"/>
        </w:rPr>
        <w:footnoteReference w:id="2"/>
      </w:r>
      <w:r w:rsidRPr="00C52542">
        <w:t>;</w:t>
      </w:r>
    </w:p>
    <w:p w14:paraId="1783DB85" w14:textId="66DF1BBC" w:rsidR="00B72B6B" w:rsidRPr="00C52542" w:rsidRDefault="00B72B6B" w:rsidP="00B72B6B">
      <w:pPr>
        <w:pStyle w:val="NormalHanging12a"/>
      </w:pPr>
      <w:r w:rsidRPr="00C52542">
        <w:t>J.</w:t>
      </w:r>
      <w:r w:rsidRPr="00C52542">
        <w:tab/>
        <w:t xml:space="preserve">Considerando que, neste caso, não é possível concluir pela existência de </w:t>
      </w:r>
      <w:proofErr w:type="spellStart"/>
      <w:r w:rsidRPr="00C52542">
        <w:rPr>
          <w:i/>
          <w:iCs/>
        </w:rPr>
        <w:t>fumus</w:t>
      </w:r>
      <w:proofErr w:type="spellEnd"/>
      <w:r w:rsidRPr="00C52542">
        <w:rPr>
          <w:i/>
          <w:iCs/>
        </w:rPr>
        <w:t xml:space="preserve"> </w:t>
      </w:r>
      <w:proofErr w:type="spellStart"/>
      <w:r w:rsidRPr="00C52542">
        <w:rPr>
          <w:i/>
          <w:iCs/>
        </w:rPr>
        <w:t>persecutionis</w:t>
      </w:r>
      <w:proofErr w:type="spellEnd"/>
      <w:r w:rsidRPr="00C52542">
        <w:t xml:space="preserve">, ou seja, considerar que a intenção subjacente ao processo judicial é </w:t>
      </w:r>
      <w:r w:rsidR="00A81CD9">
        <w:t xml:space="preserve">a de </w:t>
      </w:r>
      <w:r w:rsidRPr="00C52542">
        <w:t>prejudicar a atividade política do deputado enquanto deputado ao Parlamento Europeu, e, por conseguinte, a independência do Parlamento;</w:t>
      </w:r>
    </w:p>
    <w:p w14:paraId="388945C6" w14:textId="77777777" w:rsidR="00B72B6B" w:rsidRPr="00C52542" w:rsidRDefault="00B72B6B" w:rsidP="00B72B6B">
      <w:pPr>
        <w:pStyle w:val="NormalHanging12a"/>
      </w:pPr>
      <w:r w:rsidRPr="00C52542">
        <w:t>1.</w:t>
      </w:r>
      <w:r w:rsidRPr="00C52542">
        <w:tab/>
        <w:t xml:space="preserve">Decide levantar a imunidade de </w:t>
      </w:r>
      <w:proofErr w:type="spellStart"/>
      <w:r w:rsidRPr="00C52542">
        <w:t>Siegbert</w:t>
      </w:r>
      <w:proofErr w:type="spellEnd"/>
      <w:r w:rsidRPr="00C52542">
        <w:t xml:space="preserve"> Frank </w:t>
      </w:r>
      <w:proofErr w:type="spellStart"/>
      <w:r w:rsidRPr="00C52542">
        <w:t>Droese</w:t>
      </w:r>
      <w:proofErr w:type="spellEnd"/>
      <w:r w:rsidRPr="00C52542">
        <w:t>;</w:t>
      </w:r>
    </w:p>
    <w:p w14:paraId="05468936" w14:textId="4F43B256" w:rsidR="005062D1" w:rsidRPr="00C52542" w:rsidRDefault="00B72B6B" w:rsidP="005062D1">
      <w:pPr>
        <w:pStyle w:val="NormalHanging12a"/>
      </w:pPr>
      <w:r w:rsidRPr="00C52542">
        <w:t>2.</w:t>
      </w:r>
      <w:r w:rsidRPr="00C52542">
        <w:tab/>
        <w:t xml:space="preserve">Encarrega a sua Presidente de transmitir de imediato a presente decisão, bem como o relatório da sua comissão competente, à autoridade competente da República Federal da Alemanha e a </w:t>
      </w:r>
      <w:proofErr w:type="spellStart"/>
      <w:r w:rsidRPr="00C52542">
        <w:t>Siegbert</w:t>
      </w:r>
      <w:proofErr w:type="spellEnd"/>
      <w:r w:rsidRPr="00C52542">
        <w:t xml:space="preserve"> Frank </w:t>
      </w:r>
      <w:proofErr w:type="spellStart"/>
      <w:r w:rsidRPr="00C52542">
        <w:t>Droese</w:t>
      </w:r>
      <w:proofErr w:type="spellEnd"/>
      <w:r w:rsidRPr="00C52542">
        <w:t>.</w:t>
      </w:r>
    </w:p>
    <w:p w14:paraId="3206BDBB" w14:textId="1015C139" w:rsidR="00E365E1" w:rsidRPr="00C52542" w:rsidRDefault="00E365E1" w:rsidP="00DE0651"/>
    <w:sectPr w:rsidR="00E365E1" w:rsidRPr="00C52542" w:rsidSect="005062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A1DC4" w14:textId="77777777" w:rsidR="00DE0651" w:rsidRPr="005062D1" w:rsidRDefault="00DE0651">
      <w:r w:rsidRPr="005062D1">
        <w:separator/>
      </w:r>
    </w:p>
  </w:endnote>
  <w:endnote w:type="continuationSeparator" w:id="0">
    <w:p w14:paraId="7365A5DB" w14:textId="77777777" w:rsidR="00DE0651" w:rsidRPr="005062D1" w:rsidRDefault="00DE0651">
      <w:r w:rsidRPr="005062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FDAA6" w14:textId="77777777" w:rsidR="00064002" w:rsidRPr="005062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40FA2" w14:textId="77777777" w:rsidR="00064002" w:rsidRPr="005062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1E6D9" w14:textId="77777777" w:rsidR="00064002" w:rsidRPr="005062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7FE5C" w14:textId="77777777" w:rsidR="00DE0651" w:rsidRPr="005062D1" w:rsidRDefault="00DE0651">
      <w:r w:rsidRPr="005062D1">
        <w:separator/>
      </w:r>
    </w:p>
  </w:footnote>
  <w:footnote w:type="continuationSeparator" w:id="0">
    <w:p w14:paraId="19A996AF" w14:textId="77777777" w:rsidR="00DE0651" w:rsidRPr="005062D1" w:rsidRDefault="00DE0651">
      <w:r w:rsidRPr="005062D1">
        <w:continuationSeparator/>
      </w:r>
    </w:p>
  </w:footnote>
  <w:footnote w:id="1">
    <w:p w14:paraId="75C28056" w14:textId="2AD27902" w:rsidR="00B72B6B" w:rsidRPr="005062D1" w:rsidRDefault="00B72B6B" w:rsidP="005062D1">
      <w:pPr>
        <w:pStyle w:val="FootnoteText"/>
        <w:ind w:left="567" w:hanging="567"/>
        <w:rPr>
          <w:sz w:val="24"/>
          <w:lang w:val="pt-PT"/>
        </w:rPr>
      </w:pPr>
      <w:r w:rsidRPr="005062D1">
        <w:rPr>
          <w:rStyle w:val="FootnoteReference"/>
          <w:sz w:val="24"/>
          <w:lang w:val="pt-PT"/>
        </w:rPr>
        <w:footnoteRef/>
      </w:r>
      <w:r w:rsidR="005062D1" w:rsidRPr="005062D1">
        <w:rPr>
          <w:sz w:val="24"/>
          <w:lang w:val="pt-PT"/>
        </w:rPr>
        <w:t xml:space="preserve"> </w:t>
      </w:r>
      <w:r w:rsidR="005062D1" w:rsidRPr="005062D1">
        <w:rPr>
          <w:sz w:val="24"/>
          <w:lang w:val="pt-PT"/>
        </w:rPr>
        <w:tab/>
      </w:r>
      <w:r w:rsidRPr="005062D1">
        <w:rPr>
          <w:sz w:val="24"/>
          <w:lang w:val="pt-PT"/>
        </w:rPr>
        <w:t xml:space="preserve">Acórdão do Tribunal de Justiça de 21 de outubro de 2008, Marra/De </w:t>
      </w:r>
      <w:proofErr w:type="spellStart"/>
      <w:r w:rsidRPr="005062D1">
        <w:rPr>
          <w:sz w:val="24"/>
          <w:lang w:val="pt-PT"/>
        </w:rPr>
        <w:t>Gregorio</w:t>
      </w:r>
      <w:proofErr w:type="spellEnd"/>
      <w:r w:rsidRPr="005062D1">
        <w:rPr>
          <w:sz w:val="24"/>
          <w:lang w:val="pt-PT"/>
        </w:rPr>
        <w:t xml:space="preserve"> e Clemente, C</w:t>
      </w:r>
      <w:r w:rsidRPr="005062D1">
        <w:rPr>
          <w:sz w:val="24"/>
          <w:lang w:val="pt-PT"/>
        </w:rPr>
        <w:noBreakHyphen/>
        <w:t>200/07 e C</w:t>
      </w:r>
      <w:r w:rsidRPr="005062D1">
        <w:rPr>
          <w:sz w:val="24"/>
          <w:lang w:val="pt-PT"/>
        </w:rPr>
        <w:noBreakHyphen/>
        <w:t xml:space="preserve">201/07, ECLI:EU:C:2008:579; Acórdão do Tribunal Geral de 19 de março de 2010, </w:t>
      </w:r>
      <w:proofErr w:type="spellStart"/>
      <w:r w:rsidRPr="005062D1">
        <w:rPr>
          <w:sz w:val="24"/>
          <w:lang w:val="pt-PT"/>
        </w:rPr>
        <w:t>Gollnisch</w:t>
      </w:r>
      <w:proofErr w:type="spellEnd"/>
      <w:r w:rsidRPr="005062D1">
        <w:rPr>
          <w:sz w:val="24"/>
          <w:lang w:val="pt-PT"/>
        </w:rPr>
        <w:t>/Parlamento Europeu, T</w:t>
      </w:r>
      <w:r w:rsidRPr="005062D1">
        <w:rPr>
          <w:sz w:val="24"/>
          <w:lang w:val="pt-PT"/>
        </w:rPr>
        <w:noBreakHyphen/>
        <w:t xml:space="preserve">42/06, ECLI:EU:T:2010:102; Acórdão do Tribunal de Justiça de 6 de setembro de 2011, </w:t>
      </w:r>
      <w:proofErr w:type="spellStart"/>
      <w:r w:rsidRPr="005062D1">
        <w:rPr>
          <w:sz w:val="24"/>
          <w:lang w:val="pt-PT"/>
        </w:rPr>
        <w:t>Patriciello</w:t>
      </w:r>
      <w:proofErr w:type="spellEnd"/>
      <w:r w:rsidRPr="005062D1">
        <w:rPr>
          <w:sz w:val="24"/>
          <w:lang w:val="pt-PT"/>
        </w:rPr>
        <w:t>, C</w:t>
      </w:r>
      <w:r w:rsidRPr="005062D1">
        <w:rPr>
          <w:sz w:val="24"/>
          <w:lang w:val="pt-PT"/>
        </w:rPr>
        <w:noBreakHyphen/>
        <w:t xml:space="preserve">163/10, ECLI: EU:C:2011:543; Acórdão do Tribunal Geral de 17 de janeiro de 2013, </w:t>
      </w:r>
      <w:proofErr w:type="spellStart"/>
      <w:r w:rsidRPr="005062D1">
        <w:rPr>
          <w:sz w:val="24"/>
          <w:lang w:val="pt-PT"/>
        </w:rPr>
        <w:t>Gollnisch</w:t>
      </w:r>
      <w:proofErr w:type="spellEnd"/>
      <w:r w:rsidRPr="005062D1">
        <w:rPr>
          <w:sz w:val="24"/>
          <w:lang w:val="pt-PT"/>
        </w:rPr>
        <w:t>/Parlamento Europeu, T</w:t>
      </w:r>
      <w:r w:rsidRPr="005062D1">
        <w:rPr>
          <w:sz w:val="24"/>
          <w:lang w:val="pt-PT"/>
        </w:rPr>
        <w:noBreakHyphen/>
        <w:t>346/11 e T</w:t>
      </w:r>
      <w:r w:rsidRPr="005062D1">
        <w:rPr>
          <w:sz w:val="24"/>
          <w:lang w:val="pt-PT"/>
        </w:rPr>
        <w:noBreakHyphen/>
        <w:t xml:space="preserve">347/11, ECLI:EU:T:2013:23; Acórdão do Tribunal de Justiça de 19 de dezembro de 2019, </w:t>
      </w:r>
      <w:proofErr w:type="spellStart"/>
      <w:r w:rsidRPr="005062D1">
        <w:rPr>
          <w:sz w:val="24"/>
          <w:lang w:val="pt-PT"/>
        </w:rPr>
        <w:t>Junqueras</w:t>
      </w:r>
      <w:proofErr w:type="spellEnd"/>
      <w:r w:rsidRPr="005062D1">
        <w:rPr>
          <w:sz w:val="24"/>
          <w:lang w:val="pt-PT"/>
        </w:rPr>
        <w:t xml:space="preserve"> </w:t>
      </w:r>
      <w:proofErr w:type="spellStart"/>
      <w:r w:rsidRPr="005062D1">
        <w:rPr>
          <w:sz w:val="24"/>
          <w:lang w:val="pt-PT"/>
        </w:rPr>
        <w:t>Vies</w:t>
      </w:r>
      <w:proofErr w:type="spellEnd"/>
      <w:r w:rsidRPr="005062D1">
        <w:rPr>
          <w:sz w:val="24"/>
          <w:lang w:val="pt-PT"/>
        </w:rPr>
        <w:t>, C</w:t>
      </w:r>
      <w:r w:rsidRPr="005062D1">
        <w:rPr>
          <w:sz w:val="24"/>
          <w:lang w:val="pt-PT"/>
        </w:rPr>
        <w:noBreakHyphen/>
        <w:t>502/19, ECLI:EU:C:2019:1115.</w:t>
      </w:r>
    </w:p>
  </w:footnote>
  <w:footnote w:id="2">
    <w:p w14:paraId="41C260BF" w14:textId="2B8B0234" w:rsidR="00B72B6B" w:rsidRPr="005062D1" w:rsidRDefault="00B72B6B" w:rsidP="005062D1">
      <w:pPr>
        <w:pStyle w:val="FootnoteText"/>
        <w:ind w:left="567" w:hanging="567"/>
        <w:rPr>
          <w:sz w:val="24"/>
          <w:lang w:val="pt-PT"/>
        </w:rPr>
      </w:pPr>
      <w:r w:rsidRPr="005062D1">
        <w:rPr>
          <w:rStyle w:val="FootnoteReference"/>
          <w:sz w:val="24"/>
          <w:lang w:val="pt-PT"/>
        </w:rPr>
        <w:footnoteRef/>
      </w:r>
      <w:r w:rsidR="005062D1" w:rsidRPr="005062D1">
        <w:rPr>
          <w:sz w:val="24"/>
          <w:lang w:val="pt-PT"/>
        </w:rPr>
        <w:t xml:space="preserve"> </w:t>
      </w:r>
      <w:r w:rsidR="005062D1" w:rsidRPr="005062D1">
        <w:rPr>
          <w:sz w:val="24"/>
          <w:lang w:val="pt-PT"/>
        </w:rPr>
        <w:tab/>
      </w:r>
      <w:r w:rsidRPr="005062D1">
        <w:rPr>
          <w:sz w:val="24"/>
          <w:lang w:val="pt-PT"/>
        </w:rPr>
        <w:t xml:space="preserve">Acórdão do Tribunal Geral de 30 de abril de 2019, </w:t>
      </w:r>
      <w:proofErr w:type="spellStart"/>
      <w:r w:rsidRPr="005062D1">
        <w:rPr>
          <w:sz w:val="24"/>
          <w:lang w:val="pt-PT"/>
        </w:rPr>
        <w:t>Briois</w:t>
      </w:r>
      <w:proofErr w:type="spellEnd"/>
      <w:r w:rsidRPr="005062D1">
        <w:rPr>
          <w:sz w:val="24"/>
          <w:lang w:val="pt-PT"/>
        </w:rPr>
        <w:t>/Parlamento Europeu, T</w:t>
      </w:r>
      <w:r w:rsidRPr="005062D1">
        <w:rPr>
          <w:sz w:val="24"/>
          <w:lang w:val="pt-PT"/>
        </w:rPr>
        <w:noBreakHyphen/>
        <w:t>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189C3" w14:textId="77777777" w:rsidR="00064002" w:rsidRPr="005062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44330" w14:textId="77777777" w:rsidR="00064002" w:rsidRPr="005062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F28AC" w14:textId="77777777" w:rsidR="00064002" w:rsidRPr="005062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4865113">
    <w:abstractNumId w:val="9"/>
  </w:num>
  <w:num w:numId="2" w16cid:durableId="1035083029">
    <w:abstractNumId w:val="9"/>
  </w:num>
  <w:num w:numId="3" w16cid:durableId="1470054">
    <w:abstractNumId w:val="7"/>
  </w:num>
  <w:num w:numId="4" w16cid:durableId="2026592743">
    <w:abstractNumId w:val="7"/>
  </w:num>
  <w:num w:numId="5" w16cid:durableId="1913350351">
    <w:abstractNumId w:val="6"/>
  </w:num>
  <w:num w:numId="6" w16cid:durableId="1388577480">
    <w:abstractNumId w:val="6"/>
  </w:num>
  <w:num w:numId="7" w16cid:durableId="1509444049">
    <w:abstractNumId w:val="5"/>
  </w:num>
  <w:num w:numId="8" w16cid:durableId="1559853105">
    <w:abstractNumId w:val="5"/>
  </w:num>
  <w:num w:numId="9" w16cid:durableId="1007057557">
    <w:abstractNumId w:val="4"/>
  </w:num>
  <w:num w:numId="10" w16cid:durableId="1009335473">
    <w:abstractNumId w:val="4"/>
  </w:num>
  <w:num w:numId="11" w16cid:durableId="249507034">
    <w:abstractNumId w:val="8"/>
  </w:num>
  <w:num w:numId="12" w16cid:durableId="157698286">
    <w:abstractNumId w:val="8"/>
  </w:num>
  <w:num w:numId="13" w16cid:durableId="79185228">
    <w:abstractNumId w:val="3"/>
  </w:num>
  <w:num w:numId="14" w16cid:durableId="111023822">
    <w:abstractNumId w:val="3"/>
  </w:num>
  <w:num w:numId="15" w16cid:durableId="913199965">
    <w:abstractNumId w:val="2"/>
  </w:num>
  <w:num w:numId="16" w16cid:durableId="258027869">
    <w:abstractNumId w:val="2"/>
  </w:num>
  <w:num w:numId="17" w16cid:durableId="1682001650">
    <w:abstractNumId w:val="1"/>
  </w:num>
  <w:num w:numId="18" w16cid:durableId="2009404832">
    <w:abstractNumId w:val="1"/>
  </w:num>
  <w:num w:numId="19" w16cid:durableId="711154114">
    <w:abstractNumId w:val="0"/>
  </w:num>
  <w:num w:numId="20" w16cid:durableId="1627851249">
    <w:abstractNumId w:val="0"/>
  </w:num>
  <w:num w:numId="21" w16cid:durableId="216092777">
    <w:abstractNumId w:val="9"/>
  </w:num>
  <w:num w:numId="22" w16cid:durableId="367801709">
    <w:abstractNumId w:val="7"/>
  </w:num>
  <w:num w:numId="23" w16cid:durableId="862284841">
    <w:abstractNumId w:val="6"/>
  </w:num>
  <w:num w:numId="24" w16cid:durableId="1532569484">
    <w:abstractNumId w:val="5"/>
  </w:num>
  <w:num w:numId="25" w16cid:durableId="680469733">
    <w:abstractNumId w:val="4"/>
  </w:num>
  <w:num w:numId="26" w16cid:durableId="1231648976">
    <w:abstractNumId w:val="8"/>
  </w:num>
  <w:num w:numId="27" w16cid:durableId="1630624765">
    <w:abstractNumId w:val="3"/>
  </w:num>
  <w:num w:numId="28" w16cid:durableId="2065328298">
    <w:abstractNumId w:val="2"/>
  </w:num>
  <w:num w:numId="29" w16cid:durableId="4594806">
    <w:abstractNumId w:val="1"/>
  </w:num>
  <w:num w:numId="30" w16cid:durableId="204102786">
    <w:abstractNumId w:val="0"/>
  </w:num>
  <w:num w:numId="31" w16cid:durableId="843741067">
    <w:abstractNumId w:val="9"/>
  </w:num>
  <w:num w:numId="32" w16cid:durableId="1058477074">
    <w:abstractNumId w:val="7"/>
  </w:num>
  <w:num w:numId="33" w16cid:durableId="572085647">
    <w:abstractNumId w:val="6"/>
  </w:num>
  <w:num w:numId="34" w16cid:durableId="1005979426">
    <w:abstractNumId w:val="5"/>
  </w:num>
  <w:num w:numId="35" w16cid:durableId="1238978666">
    <w:abstractNumId w:val="4"/>
  </w:num>
  <w:num w:numId="36" w16cid:durableId="1683359870">
    <w:abstractNumId w:val="8"/>
  </w:num>
  <w:num w:numId="37" w16cid:durableId="750858739">
    <w:abstractNumId w:val="3"/>
  </w:num>
  <w:num w:numId="38" w16cid:durableId="1462067696">
    <w:abstractNumId w:val="2"/>
  </w:num>
  <w:num w:numId="39" w16cid:durableId="1293438867">
    <w:abstractNumId w:val="1"/>
  </w:num>
  <w:num w:numId="40" w16cid:durableId="762606545">
    <w:abstractNumId w:val="0"/>
  </w:num>
  <w:num w:numId="41" w16cid:durableId="630944262">
    <w:abstractNumId w:val="10"/>
  </w:num>
  <w:num w:numId="42" w16cid:durableId="825168120">
    <w:abstractNumId w:val="10"/>
  </w:num>
  <w:num w:numId="43" w16cid:durableId="1639458206">
    <w:abstractNumId w:val="10"/>
  </w:num>
  <w:num w:numId="44" w16cid:durableId="2241452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6"/>
    <w:docVar w:name="dvlangue" w:val="PT"/>
    <w:docVar w:name="dvnumam" w:val="0"/>
    <w:docVar w:name="dvpe" w:val="789.054"/>
    <w:docVar w:name="dvrapporteur" w:val="Relator: "/>
    <w:docVar w:name="dvtitre" w:val="Decisão do Parlamento Europeu, de ... de ... de 2026,_x000d__x000a_ sobre o pedido de levantamento da imunidade de Siegbert Frank Droese(2026/2019(IMM))"/>
  </w:docVars>
  <w:rsids>
    <w:rsidRoot w:val="00DE0651"/>
    <w:rsid w:val="00002272"/>
    <w:rsid w:val="00064002"/>
    <w:rsid w:val="000677B9"/>
    <w:rsid w:val="000831BA"/>
    <w:rsid w:val="000A42CC"/>
    <w:rsid w:val="000E7DD9"/>
    <w:rsid w:val="0010095E"/>
    <w:rsid w:val="00125B37"/>
    <w:rsid w:val="0016458A"/>
    <w:rsid w:val="00187494"/>
    <w:rsid w:val="001F32AE"/>
    <w:rsid w:val="002767FF"/>
    <w:rsid w:val="002B18FE"/>
    <w:rsid w:val="002B30ED"/>
    <w:rsid w:val="002B5493"/>
    <w:rsid w:val="00343214"/>
    <w:rsid w:val="00361C00"/>
    <w:rsid w:val="00395FA1"/>
    <w:rsid w:val="003E15D4"/>
    <w:rsid w:val="00405D5B"/>
    <w:rsid w:val="00411CCE"/>
    <w:rsid w:val="0041666E"/>
    <w:rsid w:val="00421060"/>
    <w:rsid w:val="00440B43"/>
    <w:rsid w:val="00443646"/>
    <w:rsid w:val="0045053E"/>
    <w:rsid w:val="00471C19"/>
    <w:rsid w:val="004867E3"/>
    <w:rsid w:val="00494A28"/>
    <w:rsid w:val="004C0004"/>
    <w:rsid w:val="004C2D30"/>
    <w:rsid w:val="004C5D52"/>
    <w:rsid w:val="00501AB0"/>
    <w:rsid w:val="0050519A"/>
    <w:rsid w:val="005062D1"/>
    <w:rsid w:val="005072A1"/>
    <w:rsid w:val="00514517"/>
    <w:rsid w:val="00545827"/>
    <w:rsid w:val="00560270"/>
    <w:rsid w:val="005C2568"/>
    <w:rsid w:val="005F1B17"/>
    <w:rsid w:val="006037C0"/>
    <w:rsid w:val="00647B8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4D1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2305"/>
    <w:rsid w:val="00930C23"/>
    <w:rsid w:val="0093193B"/>
    <w:rsid w:val="009509D8"/>
    <w:rsid w:val="00950B64"/>
    <w:rsid w:val="00981893"/>
    <w:rsid w:val="009B1A0D"/>
    <w:rsid w:val="00A1687D"/>
    <w:rsid w:val="00A43E52"/>
    <w:rsid w:val="00A4678D"/>
    <w:rsid w:val="00A778C7"/>
    <w:rsid w:val="00A81CD9"/>
    <w:rsid w:val="00AB441E"/>
    <w:rsid w:val="00AB6293"/>
    <w:rsid w:val="00AE0928"/>
    <w:rsid w:val="00AF3B82"/>
    <w:rsid w:val="00B12E95"/>
    <w:rsid w:val="00B22876"/>
    <w:rsid w:val="00B558F0"/>
    <w:rsid w:val="00B72B6B"/>
    <w:rsid w:val="00BD11F4"/>
    <w:rsid w:val="00BD48FE"/>
    <w:rsid w:val="00BD7BD8"/>
    <w:rsid w:val="00BE6ADC"/>
    <w:rsid w:val="00C05BFE"/>
    <w:rsid w:val="00C23CD4"/>
    <w:rsid w:val="00C5254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065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4D4"/>
    <w:rsid w:val="00F74202"/>
    <w:rsid w:val="00F87713"/>
    <w:rsid w:val="00FB4360"/>
    <w:rsid w:val="00FD0C70"/>
    <w:rsid w:val="00FD60F6"/>
    <w:rsid w:val="00FF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EABFA"/>
  <w15:chartTrackingRefBased/>
  <w15:docId w15:val="{6681523B-EE1A-41BF-89E7-8A11D7B1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72B6B"/>
    <w:pPr>
      <w:spacing w:after="240"/>
      <w:ind w:left="567" w:hanging="567"/>
    </w:pPr>
  </w:style>
  <w:style w:type="paragraph" w:customStyle="1" w:styleId="EPComma">
    <w:name w:val="EPComma"/>
    <w:basedOn w:val="Normal"/>
    <w:rsid w:val="00B72B6B"/>
    <w:pPr>
      <w:spacing w:before="480" w:after="240"/>
    </w:pPr>
  </w:style>
  <w:style w:type="paragraph" w:styleId="Revision">
    <w:name w:val="Revision"/>
    <w:hidden/>
    <w:uiPriority w:val="99"/>
    <w:semiHidden/>
    <w:rsid w:val="00FD60F6"/>
    <w:rPr>
      <w:sz w:val="24"/>
      <w:lang w:val="pt-PT"/>
    </w:rPr>
  </w:style>
  <w:style w:type="character" w:styleId="CommentReference">
    <w:name w:val="annotation reference"/>
    <w:basedOn w:val="DefaultParagraphFont"/>
    <w:rsid w:val="00784D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4D1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84D11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84D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4D11"/>
    <w:rPr>
      <w:b/>
      <w:bCs/>
      <w:lang w:val="pt-PT"/>
    </w:rPr>
  </w:style>
  <w:style w:type="character" w:styleId="Hyperlink">
    <w:name w:val="Hyperlink"/>
    <w:basedOn w:val="DefaultParagraphFont"/>
    <w:rsid w:val="00784D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4D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2B30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923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2026-07-07T12:09:00Z</dcterms:created>
  <dcterms:modified xsi:type="dcterms:W3CDTF">2026-07-07T12:09:00Z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A10-0193/2026</vt:lpwstr>
  </property>
  <property fmtid="{D5CDD505-2E9C-101B-9397-08002B2CF9AE}" pid="4" name="&lt;Type&gt;">
    <vt:lpwstr>RR</vt:lpwstr>
  </property>
</Properties>
</file>