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B67" w14:paraId="4FB306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066DCC" w14:textId="77777777" w:rsidR="00751A4A" w:rsidRPr="00EF2B67" w:rsidRDefault="009E6D53" w:rsidP="0010095E">
            <w:pPr>
              <w:pStyle w:val="EPName"/>
            </w:pPr>
            <w:r w:rsidRPr="00EF2B67">
              <w:t>Parlamentul European</w:t>
            </w:r>
          </w:p>
          <w:p w14:paraId="61AEDD4F" w14:textId="77777777" w:rsidR="00751A4A" w:rsidRPr="00EF2B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B67">
              <w:t>2024</w:t>
            </w:r>
            <w:r w:rsidR="00817416" w:rsidRPr="00EF2B67">
              <w:t>-202</w:t>
            </w:r>
            <w:r w:rsidRPr="00EF2B67">
              <w:t>9</w:t>
            </w:r>
          </w:p>
        </w:tc>
        <w:tc>
          <w:tcPr>
            <w:tcW w:w="2268" w:type="dxa"/>
            <w:shd w:val="clear" w:color="auto" w:fill="auto"/>
          </w:tcPr>
          <w:p w14:paraId="0C6D145E" w14:textId="77777777" w:rsidR="00751A4A" w:rsidRPr="00EF2B67" w:rsidRDefault="00187494" w:rsidP="0010095E">
            <w:pPr>
              <w:pStyle w:val="EPLogo"/>
            </w:pPr>
            <w:r w:rsidRPr="00EF2B67">
              <w:rPr>
                <w:noProof/>
                <w:lang w:eastAsia="ja-JP"/>
              </w:rPr>
              <w:drawing>
                <wp:inline distT="0" distB="0" distL="0" distR="0" wp14:anchorId="5B46DF08" wp14:editId="48E726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0D7116" w14:textId="77777777" w:rsidR="00D058B8" w:rsidRPr="00EF2B67" w:rsidRDefault="00D058B8" w:rsidP="004C5D52">
      <w:pPr>
        <w:pStyle w:val="LineTop"/>
      </w:pPr>
    </w:p>
    <w:p w14:paraId="78B813E2" w14:textId="77777777" w:rsidR="00680577" w:rsidRPr="00EF2B67" w:rsidRDefault="009E6D53" w:rsidP="00680577">
      <w:pPr>
        <w:pStyle w:val="EPBodyTA1"/>
      </w:pPr>
      <w:r w:rsidRPr="00EF2B67">
        <w:t>TEXTE ADOPTATE</w:t>
      </w:r>
    </w:p>
    <w:p w14:paraId="48DFBC76" w14:textId="77777777" w:rsidR="00D058B8" w:rsidRPr="00EF2B67" w:rsidRDefault="00D058B8" w:rsidP="00D058B8">
      <w:pPr>
        <w:pStyle w:val="LineBottom"/>
      </w:pPr>
    </w:p>
    <w:p w14:paraId="4A4DE258" w14:textId="0A77B3E3" w:rsidR="009E6D53" w:rsidRPr="00EF2B67" w:rsidRDefault="009E6D53" w:rsidP="009E6D53">
      <w:pPr>
        <w:pStyle w:val="ATHeading1"/>
      </w:pPr>
      <w:bookmarkStart w:id="0" w:name="TANumber"/>
      <w:r w:rsidRPr="00EF2B67">
        <w:t>P10_TA(2026)0</w:t>
      </w:r>
      <w:r w:rsidR="00EF2B67" w:rsidRPr="00EF2B67">
        <w:t>236</w:t>
      </w:r>
      <w:bookmarkEnd w:id="0"/>
    </w:p>
    <w:p w14:paraId="28F11DE4" w14:textId="38672C51" w:rsidR="009E6D53" w:rsidRPr="00EF2B67" w:rsidRDefault="009E6D53" w:rsidP="009E6D53">
      <w:pPr>
        <w:pStyle w:val="ATHeading2"/>
      </w:pPr>
      <w:bookmarkStart w:id="1" w:name="title"/>
      <w:r w:rsidRPr="00EF2B67">
        <w:t xml:space="preserve">Cerere de ridicare a imunității deputatului </w:t>
      </w:r>
      <w:bookmarkEnd w:id="1"/>
      <w:proofErr w:type="spellStart"/>
      <w:r w:rsidR="000C02EE" w:rsidRPr="00EF2B67">
        <w:t>Siegbert</w:t>
      </w:r>
      <w:proofErr w:type="spellEnd"/>
      <w:r w:rsidR="000C02EE" w:rsidRPr="00EF2B67">
        <w:t xml:space="preserve"> Frank </w:t>
      </w:r>
      <w:proofErr w:type="spellStart"/>
      <w:r w:rsidR="000C02EE" w:rsidRPr="00EF2B67">
        <w:t>Droese</w:t>
      </w:r>
      <w:proofErr w:type="spellEnd"/>
      <w:r w:rsidR="000C02EE" w:rsidRPr="00EF2B67">
        <w:t xml:space="preserve"> </w:t>
      </w:r>
    </w:p>
    <w:p w14:paraId="45147816" w14:textId="77777777" w:rsidR="009E6D53" w:rsidRPr="00EF2B67" w:rsidRDefault="009E6D53" w:rsidP="009E6D53">
      <w:pPr>
        <w:rPr>
          <w:i/>
          <w:vanish/>
        </w:rPr>
      </w:pPr>
      <w:r w:rsidRPr="00EF2B67">
        <w:rPr>
          <w:i/>
        </w:rPr>
        <w:fldChar w:fldCharType="begin"/>
      </w:r>
      <w:r w:rsidRPr="00EF2B67">
        <w:rPr>
          <w:i/>
        </w:rPr>
        <w:instrText xml:space="preserve"> TC"(</w:instrText>
      </w:r>
      <w:bookmarkStart w:id="2" w:name="DocNumber"/>
      <w:r w:rsidRPr="00EF2B67">
        <w:rPr>
          <w:i/>
        </w:rPr>
        <w:instrText>A10-0193/2026</w:instrText>
      </w:r>
      <w:bookmarkEnd w:id="2"/>
      <w:r w:rsidRPr="00EF2B67">
        <w:rPr>
          <w:i/>
        </w:rPr>
        <w:instrText xml:space="preserve"> - Raportor: </w:instrText>
      </w:r>
      <w:proofErr w:type="spellStart"/>
      <w:r w:rsidRPr="00EF2B67">
        <w:rPr>
          <w:i/>
        </w:rPr>
        <w:instrText>Adrián</w:instrText>
      </w:r>
      <w:proofErr w:type="spellEnd"/>
      <w:r w:rsidRPr="00EF2B67">
        <w:rPr>
          <w:i/>
        </w:rPr>
        <w:instrText xml:space="preserve"> </w:instrText>
      </w:r>
      <w:proofErr w:type="spellStart"/>
      <w:r w:rsidRPr="00EF2B67">
        <w:rPr>
          <w:i/>
        </w:rPr>
        <w:instrText>Vázquez</w:instrText>
      </w:r>
      <w:proofErr w:type="spellEnd"/>
      <w:r w:rsidRPr="00EF2B67">
        <w:rPr>
          <w:i/>
        </w:rPr>
        <w:instrText xml:space="preserve"> </w:instrText>
      </w:r>
      <w:proofErr w:type="spellStart"/>
      <w:r w:rsidRPr="00EF2B67">
        <w:rPr>
          <w:i/>
        </w:rPr>
        <w:instrText>Lázara</w:instrText>
      </w:r>
      <w:proofErr w:type="spellEnd"/>
      <w:r w:rsidRPr="00EF2B67">
        <w:rPr>
          <w:i/>
        </w:rPr>
        <w:instrText xml:space="preserve">)"\l3 \n&gt; \* MERGEFORMAT </w:instrText>
      </w:r>
      <w:r w:rsidRPr="00EF2B67">
        <w:rPr>
          <w:i/>
        </w:rPr>
        <w:fldChar w:fldCharType="end"/>
      </w:r>
    </w:p>
    <w:p w14:paraId="3D4FD00A" w14:textId="77777777" w:rsidR="009E6D53" w:rsidRPr="00EF2B67" w:rsidRDefault="009E6D53" w:rsidP="009E6D53">
      <w:pPr>
        <w:rPr>
          <w:vanish/>
        </w:rPr>
      </w:pPr>
      <w:bookmarkStart w:id="3" w:name="Commission"/>
      <w:r w:rsidRPr="00EF2B67">
        <w:rPr>
          <w:vanish/>
        </w:rPr>
        <w:t>Comisia pentru afaceri juridice</w:t>
      </w:r>
      <w:bookmarkEnd w:id="3"/>
    </w:p>
    <w:p w14:paraId="39ECE6A0" w14:textId="77777777" w:rsidR="009E6D53" w:rsidRPr="00EF2B67" w:rsidRDefault="009E6D53" w:rsidP="009E6D53">
      <w:pPr>
        <w:rPr>
          <w:vanish/>
        </w:rPr>
      </w:pPr>
      <w:bookmarkStart w:id="4" w:name="PE"/>
      <w:r w:rsidRPr="00EF2B67">
        <w:rPr>
          <w:vanish/>
        </w:rPr>
        <w:t>PE789.054</w:t>
      </w:r>
      <w:bookmarkEnd w:id="4"/>
    </w:p>
    <w:p w14:paraId="50585D8B" w14:textId="77777777" w:rsidR="009E6D53" w:rsidRPr="00EF2B67" w:rsidRDefault="009E6D53" w:rsidP="009E6D53">
      <w:pPr>
        <w:pStyle w:val="ATHeading3"/>
      </w:pPr>
      <w:bookmarkStart w:id="5" w:name="Sujet"/>
      <w:r w:rsidRPr="00EF2B67">
        <w:t xml:space="preserve">Decizia Parlamentului European din 7 iulie 2026 privind cererea de ridicare a imunității deputatului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bookmarkEnd w:id="5"/>
      <w:proofErr w:type="spellEnd"/>
      <w:r w:rsidRPr="00EF2B67">
        <w:t xml:space="preserve"> </w:t>
      </w:r>
      <w:bookmarkStart w:id="6" w:name="References"/>
      <w:r w:rsidRPr="00EF2B67">
        <w:t>(2026/2019(IMM))</w:t>
      </w:r>
      <w:bookmarkEnd w:id="6"/>
    </w:p>
    <w:p w14:paraId="61E3DBB8" w14:textId="77777777" w:rsidR="00C2297F" w:rsidRPr="00EF2B67" w:rsidRDefault="00C2297F" w:rsidP="00C2297F">
      <w:pPr>
        <w:pStyle w:val="EPComma"/>
      </w:pPr>
      <w:bookmarkStart w:id="7" w:name="TextBodyBegin"/>
      <w:bookmarkEnd w:id="7"/>
      <w:r w:rsidRPr="00EF2B67">
        <w:rPr>
          <w:i/>
        </w:rPr>
        <w:t>Parlamentul European</w:t>
      </w:r>
      <w:r w:rsidRPr="00EF2B67">
        <w:t>,</w:t>
      </w:r>
    </w:p>
    <w:p w14:paraId="7D710545" w14:textId="49A5F3DA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 xml:space="preserve">având în vedere cererea de ridicare a imunității 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>, primită prin scrisoarea din 15 ianuarie 2026 din partea Ministerului Federal German al Justiției și Protecției Consumatorilor, prin care se transmite o cerere din 2 decembrie 2025 a Tribunalului Regional din Dresda și anunțată în plen la 11 februarie 2026,</w:t>
      </w:r>
    </w:p>
    <w:p w14:paraId="73E429B1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 xml:space="preserve">având în vedere că se consideră că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a renunțat la dreptul de a fi audiat în conformitate cu articolul 9 alineatul (6) din Regulamentul de procedură, </w:t>
      </w:r>
    </w:p>
    <w:p w14:paraId="13204E6F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>având în vedere articolul 9 din Protocolul nr. 7 privind privilegiile și imunitățile Uniunii Europene, precum și articolul 6 alineatul (2) din Actul din 20 septembrie 1976 privind alegerea membrilor Parlamentului European prin vot universal direct,</w:t>
      </w:r>
    </w:p>
    <w:p w14:paraId="596DB7CA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>având în vedere hotărârile Curții de Justiție a Uniunii Europene din 21 octombrie 2008, 19 martie 2010, 6 septembrie 2011, 17 ianuarie 2013 și 19 decembrie 2019</w:t>
      </w:r>
      <w:r w:rsidRPr="00EF2B67">
        <w:rPr>
          <w:rStyle w:val="FootnoteReference"/>
        </w:rPr>
        <w:footnoteReference w:id="1"/>
      </w:r>
      <w:r w:rsidRPr="00EF2B67">
        <w:t>,</w:t>
      </w:r>
    </w:p>
    <w:p w14:paraId="61309473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 xml:space="preserve">având în vedere articolul 46 din Constituția Republicii Federale Germania, </w:t>
      </w:r>
    </w:p>
    <w:p w14:paraId="1FBBF857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>având în vedere articolul 5 alineatul (2), articolul 6 alineatul (1) și articolul 9 din Regulamentul său de procedură,</w:t>
      </w:r>
    </w:p>
    <w:p w14:paraId="0932DF0D" w14:textId="77777777" w:rsidR="00C2297F" w:rsidRPr="00EF2B67" w:rsidRDefault="00C2297F" w:rsidP="00C2297F">
      <w:pPr>
        <w:pStyle w:val="NormalHanging12a"/>
      </w:pPr>
      <w:r w:rsidRPr="00EF2B67">
        <w:t>–</w:t>
      </w:r>
      <w:r w:rsidRPr="00EF2B67">
        <w:tab/>
        <w:t>având în vedere raportul Comisiei pentru afaceri juridice (A10-0193/2026),</w:t>
      </w:r>
    </w:p>
    <w:p w14:paraId="7FA3A719" w14:textId="7E88CB82" w:rsidR="00C2297F" w:rsidRPr="00EF2B67" w:rsidRDefault="00C2297F" w:rsidP="00C2297F">
      <w:pPr>
        <w:pStyle w:val="NormalHanging12a"/>
      </w:pPr>
      <w:r w:rsidRPr="00EF2B67">
        <w:t>A.</w:t>
      </w:r>
      <w:r w:rsidRPr="00EF2B67">
        <w:tab/>
        <w:t xml:space="preserve">întrucât, la 15 ianuarie 2026, Ministerul Federal German al Justiției și Protecției </w:t>
      </w:r>
      <w:r w:rsidRPr="00EF2B67">
        <w:lastRenderedPageBreak/>
        <w:t xml:space="preserve">Consumatorilor a transmis o cerere din partea Tribunalului Regional din Dresda de ridicare a imunității 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>, deputat în Parlamentul European ales în Germania, în legătură cu o cale de atac introdusă de acesta în cadrul unei proceduri penale;</w:t>
      </w:r>
    </w:p>
    <w:p w14:paraId="444E5ED2" w14:textId="77777777" w:rsidR="00C2297F" w:rsidRPr="00EF2B67" w:rsidRDefault="00C2297F" w:rsidP="00C2297F">
      <w:pPr>
        <w:pStyle w:val="NormalHanging12a"/>
      </w:pPr>
      <w:r w:rsidRPr="00EF2B67">
        <w:t>B.</w:t>
      </w:r>
      <w:r w:rsidRPr="00EF2B67">
        <w:tab/>
        <w:t xml:space="preserve">întrucât, prin hotărârea Tribunalului Districtual din Dresda din 26 aprilie 2024,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a fost condamnat la plata unei amenzi penale pentru acte de insultă săvârșite în două cazuri de concurs real de infracțiuni; întrucât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a formulat apel împotriva acestei hotărâri prin intermediul memoriului avocatului său din 3 mai 2024; </w:t>
      </w:r>
    </w:p>
    <w:p w14:paraId="0D987822" w14:textId="60F427D8" w:rsidR="00C2297F" w:rsidRPr="00EF2B67" w:rsidRDefault="00C2297F" w:rsidP="00C2297F">
      <w:pPr>
        <w:pStyle w:val="NormalHanging12a"/>
      </w:pPr>
      <w:r w:rsidRPr="00EF2B67">
        <w:t>C.</w:t>
      </w:r>
      <w:r w:rsidRPr="00EF2B67">
        <w:tab/>
        <w:t xml:space="preserve">întrucât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a fost ales în Parlamentul European la alegerile europene din iunie 2024; întrucât el nu era deputat în Parlamentul European la momentul condamnării prin hotărârea Tribunalului Districtual din Dresda din 26 aprilie 2024 și nici la momentul formulării apelului împotriva acesteia; întrucât, în urma alegerii 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în Parlamentul European și în conformitate cu cererea</w:t>
      </w:r>
      <w:r w:rsidR="000C02EE" w:rsidRPr="00EF2B67">
        <w:t xml:space="preserve"> Tribunalului Regional din Dresda</w:t>
      </w:r>
      <w:r w:rsidRPr="00EF2B67">
        <w:t xml:space="preserve">, desfășurarea procedurii de apel necesită ridicarea imunității 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>;</w:t>
      </w:r>
    </w:p>
    <w:p w14:paraId="2D455BA9" w14:textId="77777777" w:rsidR="00C2297F" w:rsidRPr="00EF2B67" w:rsidRDefault="00C2297F" w:rsidP="00C2297F">
      <w:pPr>
        <w:pStyle w:val="NormalHanging12a"/>
      </w:pPr>
      <w:bookmarkStart w:id="9" w:name="_Hlk232522246"/>
      <w:r w:rsidRPr="00EF2B67">
        <w:t>D.</w:t>
      </w:r>
      <w:r w:rsidRPr="00EF2B67">
        <w:tab/>
        <w:t xml:space="preserve">întrucât acțiunile care stau la baza presupuselor infracțiuni au avut loc înainte ca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 xml:space="preserve"> să devină deputat în Parlamentul European și, prin urmare, nu constituie o opinie sau un vot exprimat de acesta în exercitarea funcțiilor sale în calitate de deputat în Parlamentul European în sensul articolului 8 din Protocolul nr. 7 privind privilegiile și imunitățile Uniunii Europene, iar cererea subsecventă de ridicare a imunității sale nu are legătură cu acestea;</w:t>
      </w:r>
    </w:p>
    <w:bookmarkEnd w:id="9"/>
    <w:p w14:paraId="58DA3BC8" w14:textId="159B075B" w:rsidR="00C2297F" w:rsidRPr="00EF2B67" w:rsidRDefault="00C2297F" w:rsidP="00C2297F">
      <w:pPr>
        <w:pStyle w:val="NormalHanging12a"/>
      </w:pPr>
      <w:r w:rsidRPr="00EF2B67">
        <w:t>E.</w:t>
      </w:r>
      <w:r w:rsidRPr="00EF2B67">
        <w:tab/>
        <w:t xml:space="preserve">întrucât articolul 9 primul paragraf litera (a) din Protocolul nr. 7 privind privilegiile și imunitățile Uniunii Europene stipulează că, pe durata sesiunilor Parlamentului European, </w:t>
      </w:r>
      <w:r w:rsidR="00341A9F" w:rsidRPr="00EF2B67">
        <w:t>membrii acestuia</w:t>
      </w:r>
      <w:r w:rsidRPr="00EF2B67">
        <w:t xml:space="preserve"> beneficiază, pe teritoriul național, de imunitățile </w:t>
      </w:r>
      <w:r w:rsidR="00341A9F" w:rsidRPr="00EF2B67">
        <w:t xml:space="preserve">recunoscute membrilor </w:t>
      </w:r>
      <w:r w:rsidRPr="00EF2B67">
        <w:t>Parlamentului propriului stat membru;</w:t>
      </w:r>
    </w:p>
    <w:p w14:paraId="47345C3F" w14:textId="77777777" w:rsidR="00C2297F" w:rsidRPr="00EF2B67" w:rsidRDefault="00C2297F" w:rsidP="00C2297F">
      <w:pPr>
        <w:pStyle w:val="NormalHanging12a"/>
      </w:pPr>
      <w:r w:rsidRPr="00EF2B67">
        <w:t>F.</w:t>
      </w:r>
      <w:r w:rsidRPr="00EF2B67">
        <w:tab/>
        <w:t>întrucât articolul 46 alineatele (2), (3) și (4) din Constituția Republicii Federale Germania prevede că:</w:t>
      </w:r>
    </w:p>
    <w:p w14:paraId="3EC3A8A4" w14:textId="77777777" w:rsidR="00C2297F" w:rsidRPr="00EF2B67" w:rsidRDefault="00C2297F" w:rsidP="00C2297F">
      <w:pPr>
        <w:pStyle w:val="NormalHanging12a"/>
        <w:ind w:left="1134"/>
      </w:pPr>
      <w:r w:rsidRPr="00EF2B67">
        <w:t>„(2)</w:t>
      </w:r>
      <w:r w:rsidRPr="00EF2B67">
        <w:tab/>
        <w:t>Un deputat nu poate fi tras la răspundere sau arestat pentru o infracțiune pasibilă de pedeapsă fără aprobarea Bundestagului decât dacă este prins în flagrant delict sau în cursul zilei următoare comiterii faptei.</w:t>
      </w:r>
    </w:p>
    <w:p w14:paraId="7329678D" w14:textId="77777777" w:rsidR="00C2297F" w:rsidRPr="00EF2B67" w:rsidRDefault="00C2297F" w:rsidP="00C2297F">
      <w:pPr>
        <w:pStyle w:val="NormalHanging12a"/>
        <w:ind w:left="1134"/>
      </w:pPr>
      <w:r w:rsidRPr="00EF2B67">
        <w:t>(3)</w:t>
      </w:r>
      <w:r w:rsidRPr="00EF2B67">
        <w:tab/>
        <w:t>Aprobarea Bundestag-ului este necesară și pentru orice altă restrângere a libertății personale a unui deputat sau pentru începerea unei proceduri împotriva unui deputat în temeiul articolului 18.</w:t>
      </w:r>
    </w:p>
    <w:p w14:paraId="16769379" w14:textId="77777777" w:rsidR="00C2297F" w:rsidRPr="00EF2B67" w:rsidRDefault="00C2297F" w:rsidP="00C2297F">
      <w:pPr>
        <w:pStyle w:val="NormalHanging12a"/>
        <w:ind w:left="1134"/>
      </w:pPr>
      <w:r w:rsidRPr="00EF2B67">
        <w:t>(4)</w:t>
      </w:r>
      <w:r w:rsidRPr="00EF2B67">
        <w:tab/>
        <w:t>Orice procedură penală sau orice procedură intentată în temeiul articolului 18 împotriva unui deputat și orice detenție sau restrângere a libertății personale a acestuia se suspendă la cererea Bundestagului.”</w:t>
      </w:r>
    </w:p>
    <w:p w14:paraId="5E043730" w14:textId="77777777" w:rsidR="00C2297F" w:rsidRPr="00EF2B67" w:rsidRDefault="00C2297F" w:rsidP="00C2297F">
      <w:pPr>
        <w:pStyle w:val="NormalHanging12a"/>
      </w:pPr>
      <w:r w:rsidRPr="00EF2B67">
        <w:t>G.</w:t>
      </w:r>
      <w:r w:rsidRPr="00EF2B67">
        <w:tab/>
      </w:r>
      <w:bookmarkStart w:id="10" w:name="_Hlk210920707"/>
      <w:r w:rsidRPr="00EF2B67">
        <w:t>întrucât scopul imunității prevăzute în Protocolul nr. 7 privind privilegiile și imunitățile Uniunii Europene este acela de a proteja Parlamentul și pe deputații săi de proceduri judiciare inițiate în legătură cu activități desfășurate în cadrul exercitării funcțiilor parlamentare și care nu pot fi disociate de aceste funcții;</w:t>
      </w:r>
      <w:bookmarkEnd w:id="10"/>
    </w:p>
    <w:p w14:paraId="62C6090C" w14:textId="77777777" w:rsidR="00C2297F" w:rsidRPr="00EF2B67" w:rsidRDefault="00C2297F" w:rsidP="00C2297F">
      <w:pPr>
        <w:pStyle w:val="NormalHanging12a"/>
      </w:pPr>
      <w:r w:rsidRPr="00EF2B67">
        <w:t>H.</w:t>
      </w:r>
      <w:r w:rsidRPr="00EF2B67">
        <w:tab/>
        <w:t xml:space="preserve">întrucât, în conformitate cu articolul 5 alineatul (2) din Regulamentul de procedură al Parlamentului European, imunitatea parlamentară nu este un privilegiu personal al </w:t>
      </w:r>
      <w:r w:rsidRPr="00EF2B67">
        <w:lastRenderedPageBreak/>
        <w:t xml:space="preserve">deputaților, ci o garanție pentru independența Parlamentului în ansamblu și a membrilor săi; </w:t>
      </w:r>
    </w:p>
    <w:p w14:paraId="6255FEAE" w14:textId="02B2DB6B" w:rsidR="00C2297F" w:rsidRPr="00EF2B67" w:rsidRDefault="00C2297F" w:rsidP="00C2297F">
      <w:pPr>
        <w:pStyle w:val="NormalHanging12a"/>
      </w:pPr>
      <w:r w:rsidRPr="00EF2B67">
        <w:t>I.</w:t>
      </w:r>
      <w:r w:rsidRPr="00EF2B67">
        <w:tab/>
        <w:t>întrucât Parlamentul nu poate fi asimilat unei instanțe judecătorești și, în contextul unei proceduri de ridicare a imunității, deputatul în cauză nu poate fi considerat „persoană acuzată”</w:t>
      </w:r>
      <w:r w:rsidRPr="00EF2B67">
        <w:rPr>
          <w:rStyle w:val="FootnoteReference"/>
        </w:rPr>
        <w:footnoteReference w:id="2"/>
      </w:r>
      <w:r w:rsidRPr="00EF2B67">
        <w:t>;</w:t>
      </w:r>
    </w:p>
    <w:p w14:paraId="18183394" w14:textId="229839AA" w:rsidR="00C2297F" w:rsidRPr="00EF2B67" w:rsidRDefault="00C2297F" w:rsidP="00C2297F">
      <w:pPr>
        <w:pStyle w:val="NormalHanging12a"/>
      </w:pPr>
      <w:r w:rsidRPr="00EF2B67">
        <w:t>J.</w:t>
      </w:r>
      <w:r w:rsidRPr="00EF2B67">
        <w:tab/>
        <w:t xml:space="preserve">întrucât, prin urmare, s-ar părea că, în cazul de față, nu se poate presupune existența unui </w:t>
      </w:r>
      <w:proofErr w:type="spellStart"/>
      <w:r w:rsidRPr="00EF2B67">
        <w:rPr>
          <w:i/>
          <w:iCs/>
        </w:rPr>
        <w:t>fumus</w:t>
      </w:r>
      <w:proofErr w:type="spellEnd"/>
      <w:r w:rsidRPr="00EF2B67">
        <w:rPr>
          <w:i/>
          <w:iCs/>
        </w:rPr>
        <w:t xml:space="preserve"> </w:t>
      </w:r>
      <w:proofErr w:type="spellStart"/>
      <w:r w:rsidRPr="00EF2B67">
        <w:rPr>
          <w:i/>
          <w:iCs/>
        </w:rPr>
        <w:t>persecutionis</w:t>
      </w:r>
      <w:proofErr w:type="spellEnd"/>
      <w:r w:rsidRPr="00EF2B67">
        <w:t xml:space="preserve">, </w:t>
      </w:r>
      <w:r w:rsidR="00603A59" w:rsidRPr="00EF2B67">
        <w:t xml:space="preserve">și anume nu rezultă că </w:t>
      </w:r>
      <w:r w:rsidRPr="00EF2B67">
        <w:t>intenția care stă la baza procedurii judiciare este de a aduce atingere activității sale politice în calitate de deputat în Parlamentul European și, prin urmare, independenței Parlamentului,</w:t>
      </w:r>
    </w:p>
    <w:p w14:paraId="737F6A7D" w14:textId="77777777" w:rsidR="00C2297F" w:rsidRPr="00EF2B67" w:rsidRDefault="00C2297F" w:rsidP="00C2297F">
      <w:pPr>
        <w:pStyle w:val="NormalHanging12a"/>
      </w:pPr>
      <w:r w:rsidRPr="00EF2B67">
        <w:t>1.</w:t>
      </w:r>
      <w:r w:rsidRPr="00EF2B67">
        <w:tab/>
        <w:t xml:space="preserve">hotărăște să ridice imunitatea deputatului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>;</w:t>
      </w:r>
    </w:p>
    <w:p w14:paraId="7A252050" w14:textId="77777777" w:rsidR="00C2297F" w:rsidRPr="00EF2B67" w:rsidRDefault="00C2297F" w:rsidP="00C2297F">
      <w:pPr>
        <w:pStyle w:val="NormalHanging12a"/>
      </w:pPr>
      <w:r w:rsidRPr="00EF2B67">
        <w:t>2.</w:t>
      </w:r>
      <w:r w:rsidRPr="00EF2B67">
        <w:tab/>
        <w:t xml:space="preserve">încredințează Președintei sarcina de a transmite imediat prezenta decizie, precum și raportul comisiei competente, autorității competente a Republicii Federale Germania și deputatului </w:t>
      </w:r>
      <w:proofErr w:type="spellStart"/>
      <w:r w:rsidRPr="00EF2B67">
        <w:t>Siegbert</w:t>
      </w:r>
      <w:proofErr w:type="spellEnd"/>
      <w:r w:rsidRPr="00EF2B67">
        <w:t xml:space="preserve"> Frank </w:t>
      </w:r>
      <w:proofErr w:type="spellStart"/>
      <w:r w:rsidRPr="00EF2B67">
        <w:t>Droese</w:t>
      </w:r>
      <w:proofErr w:type="spellEnd"/>
      <w:r w:rsidRPr="00EF2B67">
        <w:t>.</w:t>
      </w:r>
    </w:p>
    <w:p w14:paraId="59544F7E" w14:textId="77777777" w:rsidR="005E6AD7" w:rsidRPr="00EF2B67" w:rsidRDefault="005E6AD7" w:rsidP="00C2297F">
      <w:pPr>
        <w:pStyle w:val="NormalHanging12a"/>
      </w:pPr>
    </w:p>
    <w:sectPr w:rsidR="005E6AD7" w:rsidRPr="00EF2B67" w:rsidSect="005E6A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71C7" w14:textId="77777777" w:rsidR="009E6D53" w:rsidRPr="007F7AC8" w:rsidRDefault="009E6D53">
      <w:r w:rsidRPr="007F7AC8">
        <w:separator/>
      </w:r>
    </w:p>
  </w:endnote>
  <w:endnote w:type="continuationSeparator" w:id="0">
    <w:p w14:paraId="578A1905" w14:textId="77777777" w:rsidR="009E6D53" w:rsidRPr="007F7AC8" w:rsidRDefault="009E6D53">
      <w:r w:rsidRPr="007F7A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E2B9" w14:textId="77777777" w:rsidR="00064002" w:rsidRPr="007F7A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030A" w14:textId="77777777" w:rsidR="00064002" w:rsidRPr="007F7A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7364" w14:textId="77777777" w:rsidR="00064002" w:rsidRPr="007F7A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26F2" w14:textId="77777777" w:rsidR="009E6D53" w:rsidRPr="007F7AC8" w:rsidRDefault="009E6D53">
      <w:r w:rsidRPr="007F7AC8">
        <w:separator/>
      </w:r>
    </w:p>
  </w:footnote>
  <w:footnote w:type="continuationSeparator" w:id="0">
    <w:p w14:paraId="6272CF05" w14:textId="77777777" w:rsidR="009E6D53" w:rsidRPr="007F7AC8" w:rsidRDefault="009E6D53">
      <w:r w:rsidRPr="007F7AC8">
        <w:continuationSeparator/>
      </w:r>
    </w:p>
  </w:footnote>
  <w:footnote w:id="1">
    <w:p w14:paraId="26D57A2A" w14:textId="099B95FB" w:rsidR="00C2297F" w:rsidRPr="007F7AC8" w:rsidRDefault="00C2297F" w:rsidP="007F7AC8">
      <w:pPr>
        <w:pStyle w:val="FootnoteText"/>
        <w:ind w:left="567" w:hanging="567"/>
        <w:rPr>
          <w:sz w:val="24"/>
          <w:lang w:val="ro-RO"/>
        </w:rPr>
      </w:pPr>
      <w:r w:rsidRPr="007F7AC8">
        <w:rPr>
          <w:rStyle w:val="FootnoteReference"/>
          <w:sz w:val="24"/>
          <w:lang w:val="ro-RO"/>
        </w:rPr>
        <w:footnoteRef/>
      </w:r>
      <w:r w:rsidR="007F7AC8" w:rsidRPr="007F7AC8">
        <w:rPr>
          <w:sz w:val="24"/>
          <w:lang w:val="ro-RO"/>
        </w:rPr>
        <w:t xml:space="preserve"> </w:t>
      </w:r>
      <w:r w:rsidR="007F7AC8" w:rsidRPr="007F7AC8">
        <w:rPr>
          <w:sz w:val="24"/>
          <w:lang w:val="ro-RO"/>
        </w:rPr>
        <w:tab/>
      </w:r>
      <w:bookmarkStart w:id="8" w:name="_Hlk234313142"/>
      <w:r w:rsidRPr="007F7AC8">
        <w:rPr>
          <w:sz w:val="24"/>
          <w:lang w:val="ro-RO"/>
        </w:rPr>
        <w:t xml:space="preserve">Hotărârea Curții de Justiție din 21 octombrie 2008, </w:t>
      </w:r>
      <w:proofErr w:type="spellStart"/>
      <w:r w:rsidRPr="007F7AC8">
        <w:rPr>
          <w:sz w:val="24"/>
          <w:lang w:val="ro-RO"/>
        </w:rPr>
        <w:t>Marra</w:t>
      </w:r>
      <w:proofErr w:type="spellEnd"/>
      <w:r w:rsidRPr="007F7AC8">
        <w:rPr>
          <w:sz w:val="24"/>
          <w:lang w:val="ro-RO"/>
        </w:rPr>
        <w:t xml:space="preserve">/De Gregorio și Clemente, C-200/07 și C-201/07, ECLI:EU:C:2008:579, Hotărârea Tribunalului din 19 martie 2010, </w:t>
      </w:r>
      <w:proofErr w:type="spellStart"/>
      <w:r w:rsidRPr="007F7AC8">
        <w:rPr>
          <w:sz w:val="24"/>
          <w:lang w:val="ro-RO"/>
        </w:rPr>
        <w:t>Gollnisch</w:t>
      </w:r>
      <w:proofErr w:type="spellEnd"/>
      <w:r w:rsidRPr="007F7AC8">
        <w:rPr>
          <w:sz w:val="24"/>
          <w:lang w:val="ro-RO"/>
        </w:rPr>
        <w:t xml:space="preserve">/Parlamentul, T-42/06, ECLI:EU:T:2010:102, Hotărârea Curții de Justiție din 6 septembrie 2011, </w:t>
      </w:r>
      <w:proofErr w:type="spellStart"/>
      <w:r w:rsidRPr="007F7AC8">
        <w:rPr>
          <w:sz w:val="24"/>
          <w:lang w:val="ro-RO"/>
        </w:rPr>
        <w:t>Patriciello</w:t>
      </w:r>
      <w:proofErr w:type="spellEnd"/>
      <w:r w:rsidRPr="007F7AC8">
        <w:rPr>
          <w:sz w:val="24"/>
          <w:lang w:val="ro-RO"/>
        </w:rPr>
        <w:t xml:space="preserve">, C-163/10, ECLI: EU:C:2011:543, Hotărârea Tribunalului din 17 ianuarie 2013, </w:t>
      </w:r>
      <w:proofErr w:type="spellStart"/>
      <w:r w:rsidRPr="007F7AC8">
        <w:rPr>
          <w:sz w:val="24"/>
          <w:lang w:val="ro-RO"/>
        </w:rPr>
        <w:t>Gollnisch</w:t>
      </w:r>
      <w:proofErr w:type="spellEnd"/>
      <w:r w:rsidRPr="007F7AC8">
        <w:rPr>
          <w:sz w:val="24"/>
          <w:lang w:val="ro-RO"/>
        </w:rPr>
        <w:t xml:space="preserve">/Parlamentul, T-346/11 și T-347/11, ECLI:EU:T:2013:23, Hotărârea Curții de Justiție din 19 decembrie 2019, </w:t>
      </w:r>
      <w:proofErr w:type="spellStart"/>
      <w:r w:rsidRPr="007F7AC8">
        <w:rPr>
          <w:sz w:val="24"/>
          <w:lang w:val="ro-RO"/>
        </w:rPr>
        <w:t>Junqueras</w:t>
      </w:r>
      <w:proofErr w:type="spellEnd"/>
      <w:r w:rsidRPr="007F7AC8">
        <w:rPr>
          <w:sz w:val="24"/>
          <w:lang w:val="ro-RO"/>
        </w:rPr>
        <w:t xml:space="preserve"> </w:t>
      </w:r>
      <w:proofErr w:type="spellStart"/>
      <w:r w:rsidRPr="007F7AC8">
        <w:rPr>
          <w:sz w:val="24"/>
          <w:lang w:val="ro-RO"/>
        </w:rPr>
        <w:t>Vies</w:t>
      </w:r>
      <w:proofErr w:type="spellEnd"/>
      <w:r w:rsidRPr="007F7AC8">
        <w:rPr>
          <w:sz w:val="24"/>
          <w:lang w:val="ro-RO"/>
        </w:rPr>
        <w:t>, C-502/19, ECLI:EU:C:2019:1115.</w:t>
      </w:r>
      <w:bookmarkEnd w:id="8"/>
    </w:p>
  </w:footnote>
  <w:footnote w:id="2">
    <w:p w14:paraId="66BC5D9F" w14:textId="07763212" w:rsidR="00C2297F" w:rsidRPr="007F7AC8" w:rsidRDefault="00C2297F" w:rsidP="007F7AC8">
      <w:pPr>
        <w:pStyle w:val="FootnoteText"/>
        <w:ind w:left="567" w:hanging="567"/>
        <w:rPr>
          <w:sz w:val="24"/>
          <w:lang w:val="ro-RO"/>
        </w:rPr>
      </w:pPr>
      <w:r w:rsidRPr="007F7AC8">
        <w:rPr>
          <w:rStyle w:val="FootnoteReference"/>
          <w:sz w:val="24"/>
          <w:lang w:val="ro-RO"/>
        </w:rPr>
        <w:footnoteRef/>
      </w:r>
      <w:r w:rsidR="007F7AC8" w:rsidRPr="007F7AC8">
        <w:rPr>
          <w:sz w:val="24"/>
          <w:lang w:val="ro-RO"/>
        </w:rPr>
        <w:t xml:space="preserve"> </w:t>
      </w:r>
      <w:r w:rsidR="007F7AC8" w:rsidRPr="007F7AC8">
        <w:rPr>
          <w:sz w:val="24"/>
          <w:lang w:val="ro-RO"/>
        </w:rPr>
        <w:tab/>
      </w:r>
      <w:r w:rsidRPr="007F7AC8">
        <w:rPr>
          <w:sz w:val="24"/>
          <w:lang w:val="ro-RO"/>
        </w:rPr>
        <w:t xml:space="preserve">Hotărârea Tribunalului din 30 aprilie 2019, </w:t>
      </w:r>
      <w:proofErr w:type="spellStart"/>
      <w:r w:rsidRPr="007F7AC8">
        <w:rPr>
          <w:sz w:val="24"/>
          <w:lang w:val="ro-RO"/>
        </w:rPr>
        <w:t>Briois</w:t>
      </w:r>
      <w:proofErr w:type="spellEnd"/>
      <w:r w:rsidRPr="007F7AC8">
        <w:rPr>
          <w:sz w:val="24"/>
          <w:lang w:val="ro-RO"/>
        </w:rPr>
        <w:t>/Parlamentul,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88BB" w14:textId="77777777" w:rsidR="00064002" w:rsidRPr="007F7A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C69D3" w14:textId="77777777" w:rsidR="00064002" w:rsidRPr="007F7A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EE6C" w14:textId="77777777" w:rsidR="00064002" w:rsidRPr="007F7A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6352770">
    <w:abstractNumId w:val="9"/>
  </w:num>
  <w:num w:numId="2" w16cid:durableId="675766753">
    <w:abstractNumId w:val="9"/>
  </w:num>
  <w:num w:numId="3" w16cid:durableId="634722616">
    <w:abstractNumId w:val="7"/>
  </w:num>
  <w:num w:numId="4" w16cid:durableId="1699623561">
    <w:abstractNumId w:val="7"/>
  </w:num>
  <w:num w:numId="5" w16cid:durableId="1551380502">
    <w:abstractNumId w:val="6"/>
  </w:num>
  <w:num w:numId="6" w16cid:durableId="509220441">
    <w:abstractNumId w:val="6"/>
  </w:num>
  <w:num w:numId="7" w16cid:durableId="1783915185">
    <w:abstractNumId w:val="5"/>
  </w:num>
  <w:num w:numId="8" w16cid:durableId="1960918600">
    <w:abstractNumId w:val="5"/>
  </w:num>
  <w:num w:numId="9" w16cid:durableId="1913270265">
    <w:abstractNumId w:val="4"/>
  </w:num>
  <w:num w:numId="10" w16cid:durableId="436758742">
    <w:abstractNumId w:val="4"/>
  </w:num>
  <w:num w:numId="11" w16cid:durableId="229117679">
    <w:abstractNumId w:val="8"/>
  </w:num>
  <w:num w:numId="12" w16cid:durableId="1623026860">
    <w:abstractNumId w:val="8"/>
  </w:num>
  <w:num w:numId="13" w16cid:durableId="434326394">
    <w:abstractNumId w:val="3"/>
  </w:num>
  <w:num w:numId="14" w16cid:durableId="1899775952">
    <w:abstractNumId w:val="3"/>
  </w:num>
  <w:num w:numId="15" w16cid:durableId="939532687">
    <w:abstractNumId w:val="2"/>
  </w:num>
  <w:num w:numId="16" w16cid:durableId="937519322">
    <w:abstractNumId w:val="2"/>
  </w:num>
  <w:num w:numId="17" w16cid:durableId="1736319824">
    <w:abstractNumId w:val="1"/>
  </w:num>
  <w:num w:numId="18" w16cid:durableId="49770633">
    <w:abstractNumId w:val="1"/>
  </w:num>
  <w:num w:numId="19" w16cid:durableId="1333753101">
    <w:abstractNumId w:val="0"/>
  </w:num>
  <w:num w:numId="20" w16cid:durableId="1834182735">
    <w:abstractNumId w:val="0"/>
  </w:num>
  <w:num w:numId="21" w16cid:durableId="160314233">
    <w:abstractNumId w:val="9"/>
  </w:num>
  <w:num w:numId="22" w16cid:durableId="675422215">
    <w:abstractNumId w:val="7"/>
  </w:num>
  <w:num w:numId="23" w16cid:durableId="1439254913">
    <w:abstractNumId w:val="6"/>
  </w:num>
  <w:num w:numId="24" w16cid:durableId="1697344589">
    <w:abstractNumId w:val="5"/>
  </w:num>
  <w:num w:numId="25" w16cid:durableId="1638024048">
    <w:abstractNumId w:val="4"/>
  </w:num>
  <w:num w:numId="26" w16cid:durableId="582684144">
    <w:abstractNumId w:val="8"/>
  </w:num>
  <w:num w:numId="27" w16cid:durableId="163055637">
    <w:abstractNumId w:val="3"/>
  </w:num>
  <w:num w:numId="28" w16cid:durableId="33122416">
    <w:abstractNumId w:val="2"/>
  </w:num>
  <w:num w:numId="29" w16cid:durableId="908543645">
    <w:abstractNumId w:val="1"/>
  </w:num>
  <w:num w:numId="30" w16cid:durableId="646398523">
    <w:abstractNumId w:val="0"/>
  </w:num>
  <w:num w:numId="31" w16cid:durableId="1246383192">
    <w:abstractNumId w:val="9"/>
  </w:num>
  <w:num w:numId="32" w16cid:durableId="726221585">
    <w:abstractNumId w:val="7"/>
  </w:num>
  <w:num w:numId="33" w16cid:durableId="784152853">
    <w:abstractNumId w:val="6"/>
  </w:num>
  <w:num w:numId="34" w16cid:durableId="1745030657">
    <w:abstractNumId w:val="5"/>
  </w:num>
  <w:num w:numId="35" w16cid:durableId="640421377">
    <w:abstractNumId w:val="4"/>
  </w:num>
  <w:num w:numId="36" w16cid:durableId="498619427">
    <w:abstractNumId w:val="8"/>
  </w:num>
  <w:num w:numId="37" w16cid:durableId="1183936085">
    <w:abstractNumId w:val="3"/>
  </w:num>
  <w:num w:numId="38" w16cid:durableId="1415205482">
    <w:abstractNumId w:val="2"/>
  </w:num>
  <w:num w:numId="39" w16cid:durableId="1756901500">
    <w:abstractNumId w:val="1"/>
  </w:num>
  <w:num w:numId="40" w16cid:durableId="732461456">
    <w:abstractNumId w:val="0"/>
  </w:num>
  <w:num w:numId="41" w16cid:durableId="1353458403">
    <w:abstractNumId w:val="10"/>
  </w:num>
  <w:num w:numId="42" w16cid:durableId="736048840">
    <w:abstractNumId w:val="10"/>
  </w:num>
  <w:num w:numId="43" w16cid:durableId="1218320097">
    <w:abstractNumId w:val="10"/>
  </w:num>
  <w:num w:numId="44" w16cid:durableId="1246765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RO"/>
    <w:docVar w:name="dvnumam" w:val="0"/>
    <w:docVar w:name="dvpe" w:val="789.054"/>
    <w:docVar w:name="dvrapporteur" w:val="Raportor: "/>
    <w:docVar w:name="dvtitre" w:val="Decizia Parlamentului European din 7 iulie 2026 privind cererea de ridicare a imunității deputatului Siegbert Frank Droese(2026/2019(IMM))"/>
  </w:docVars>
  <w:rsids>
    <w:rsidRoot w:val="009E6D53"/>
    <w:rsid w:val="00002272"/>
    <w:rsid w:val="00064002"/>
    <w:rsid w:val="000677B9"/>
    <w:rsid w:val="000831BA"/>
    <w:rsid w:val="000A42CC"/>
    <w:rsid w:val="000C02EE"/>
    <w:rsid w:val="000E7DD9"/>
    <w:rsid w:val="0010095E"/>
    <w:rsid w:val="00125B37"/>
    <w:rsid w:val="00187494"/>
    <w:rsid w:val="001F32AE"/>
    <w:rsid w:val="002767FF"/>
    <w:rsid w:val="002B18FE"/>
    <w:rsid w:val="002B5493"/>
    <w:rsid w:val="00341A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FC8"/>
    <w:rsid w:val="005E6AD7"/>
    <w:rsid w:val="005F1B17"/>
    <w:rsid w:val="006037C0"/>
    <w:rsid w:val="00603A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AC8"/>
    <w:rsid w:val="00817416"/>
    <w:rsid w:val="00842779"/>
    <w:rsid w:val="00861B37"/>
    <w:rsid w:val="00865F67"/>
    <w:rsid w:val="00881A7B"/>
    <w:rsid w:val="008840E5"/>
    <w:rsid w:val="00887B3E"/>
    <w:rsid w:val="008C267B"/>
    <w:rsid w:val="008C2AC6"/>
    <w:rsid w:val="00930C23"/>
    <w:rsid w:val="0093193B"/>
    <w:rsid w:val="009509D8"/>
    <w:rsid w:val="00950B64"/>
    <w:rsid w:val="00981893"/>
    <w:rsid w:val="009E6D5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97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B6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71A27"/>
  <w15:chartTrackingRefBased/>
  <w15:docId w15:val="{47AFEC7F-902D-4B70-B7DA-55679B85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229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229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C2297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229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297F"/>
    <w:rPr>
      <w:sz w:val="24"/>
      <w:lang w:val="ro-RO"/>
    </w:rPr>
  </w:style>
  <w:style w:type="paragraph" w:customStyle="1" w:styleId="EPFooter">
    <w:name w:val="EPFooter"/>
    <w:basedOn w:val="Normal"/>
    <w:rsid w:val="00C229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297F"/>
    <w:pPr>
      <w:spacing w:before="480" w:after="240"/>
    </w:pPr>
  </w:style>
  <w:style w:type="character" w:styleId="CommentReference">
    <w:name w:val="annotation reference"/>
    <w:basedOn w:val="DefaultParagraphFont"/>
    <w:rsid w:val="000C02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02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02EE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0C0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02EE"/>
    <w:rPr>
      <w:b/>
      <w:bCs/>
      <w:lang w:val="ro-RO"/>
    </w:rPr>
  </w:style>
  <w:style w:type="paragraph" w:styleId="Revision">
    <w:name w:val="Revision"/>
    <w:hidden/>
    <w:uiPriority w:val="99"/>
    <w:semiHidden/>
    <w:rsid w:val="000C02EE"/>
    <w:rPr>
      <w:sz w:val="24"/>
      <w:lang w:val="ro-RO"/>
    </w:rPr>
  </w:style>
  <w:style w:type="paragraph" w:styleId="Footer">
    <w:name w:val="footer"/>
    <w:basedOn w:val="Normal"/>
    <w:link w:val="FooterChar"/>
    <w:rsid w:val="000C02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02EE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TEODORESCU-ILIE Camelia</cp:lastModifiedBy>
  <cp:revision>2</cp:revision>
  <cp:lastPrinted>2004-11-19T15:42:00Z</cp:lastPrinted>
  <dcterms:created xsi:type="dcterms:W3CDTF">2026-07-07T12:48:00Z</dcterms:created>
  <dcterms:modified xsi:type="dcterms:W3CDTF">2026-07-07T12:48:00Z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