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94DE8" w14:paraId="06E2D8B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62063F" w14:textId="77777777" w:rsidR="00751A4A" w:rsidRPr="00994DE8" w:rsidRDefault="00A57F43" w:rsidP="0010095E">
            <w:pPr>
              <w:pStyle w:val="EPName"/>
            </w:pPr>
            <w:r w:rsidRPr="00994DE8">
              <w:t>Parlamento europeo</w:t>
            </w:r>
          </w:p>
          <w:p w14:paraId="3A966193" w14:textId="77777777" w:rsidR="00751A4A" w:rsidRPr="00994DE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4DE8">
              <w:t>2024</w:t>
            </w:r>
            <w:r w:rsidR="00817416" w:rsidRPr="00994DE8">
              <w:t>-202</w:t>
            </w:r>
            <w:r w:rsidRPr="00994DE8">
              <w:t>9</w:t>
            </w:r>
          </w:p>
        </w:tc>
        <w:tc>
          <w:tcPr>
            <w:tcW w:w="2268" w:type="dxa"/>
            <w:shd w:val="clear" w:color="auto" w:fill="auto"/>
          </w:tcPr>
          <w:p w14:paraId="362A1134" w14:textId="77777777" w:rsidR="00751A4A" w:rsidRPr="00994DE8" w:rsidRDefault="00187494" w:rsidP="0010095E">
            <w:pPr>
              <w:pStyle w:val="EPLogo"/>
            </w:pPr>
            <w:r w:rsidRPr="00994DE8">
              <w:rPr>
                <w:noProof/>
                <w:lang w:eastAsia="ja-JP"/>
              </w:rPr>
              <w:drawing>
                <wp:inline distT="0" distB="0" distL="0" distR="0" wp14:anchorId="545D7DDF" wp14:editId="21B2C72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A01894" w14:textId="77777777" w:rsidR="00D058B8" w:rsidRPr="00994DE8" w:rsidRDefault="00D058B8" w:rsidP="004C5D52">
      <w:pPr>
        <w:pStyle w:val="LineTop"/>
      </w:pPr>
    </w:p>
    <w:p w14:paraId="63DBBF87" w14:textId="77777777" w:rsidR="00680577" w:rsidRPr="00994DE8" w:rsidRDefault="00A57F43" w:rsidP="00680577">
      <w:pPr>
        <w:pStyle w:val="EPBodyTA1"/>
      </w:pPr>
      <w:r w:rsidRPr="00994DE8">
        <w:t>TESTI APPROVATI</w:t>
      </w:r>
    </w:p>
    <w:p w14:paraId="004F8F1D" w14:textId="77777777" w:rsidR="00D058B8" w:rsidRPr="00994DE8" w:rsidRDefault="00D058B8" w:rsidP="00D058B8">
      <w:pPr>
        <w:pStyle w:val="LineBottom"/>
      </w:pPr>
    </w:p>
    <w:p w14:paraId="073202B0" w14:textId="0104F203" w:rsidR="00A57F43" w:rsidRPr="00994DE8" w:rsidRDefault="00A57F43" w:rsidP="00A57F43">
      <w:pPr>
        <w:pStyle w:val="ATHeading1"/>
      </w:pPr>
      <w:bookmarkStart w:id="0" w:name="TANumber"/>
      <w:r w:rsidRPr="00994DE8">
        <w:t>P10_</w:t>
      </w:r>
      <w:proofErr w:type="gramStart"/>
      <w:r w:rsidRPr="00994DE8">
        <w:t>TA(</w:t>
      </w:r>
      <w:proofErr w:type="gramEnd"/>
      <w:r w:rsidRPr="00994DE8">
        <w:t>2026)0</w:t>
      </w:r>
      <w:r w:rsidR="009861CD" w:rsidRPr="00994DE8">
        <w:t>237</w:t>
      </w:r>
      <w:bookmarkEnd w:id="0"/>
    </w:p>
    <w:p w14:paraId="249DC16E" w14:textId="77777777" w:rsidR="00A57F43" w:rsidRPr="00994DE8" w:rsidRDefault="00A57F43" w:rsidP="00A57F43">
      <w:pPr>
        <w:pStyle w:val="ATHeading2"/>
      </w:pPr>
      <w:bookmarkStart w:id="1" w:name="title"/>
      <w:r w:rsidRPr="00994DE8">
        <w:t xml:space="preserve">Richiesta di revoca dell'immunità di </w:t>
      </w:r>
      <w:proofErr w:type="spellStart"/>
      <w:r w:rsidRPr="00994DE8">
        <w:t>Ilhan</w:t>
      </w:r>
      <w:proofErr w:type="spellEnd"/>
      <w:r w:rsidRPr="00994DE8">
        <w:t xml:space="preserve"> </w:t>
      </w:r>
      <w:proofErr w:type="spellStart"/>
      <w:r w:rsidRPr="00994DE8">
        <w:t>Kyuchyuk</w:t>
      </w:r>
      <w:bookmarkEnd w:id="1"/>
      <w:proofErr w:type="spellEnd"/>
    </w:p>
    <w:p w14:paraId="5312503F" w14:textId="77777777" w:rsidR="00A57F43" w:rsidRPr="00994DE8" w:rsidRDefault="00A57F43" w:rsidP="00A57F43">
      <w:pPr>
        <w:rPr>
          <w:i/>
          <w:vanish/>
        </w:rPr>
      </w:pPr>
      <w:r w:rsidRPr="00994DE8">
        <w:rPr>
          <w:i/>
        </w:rPr>
        <w:fldChar w:fldCharType="begin"/>
      </w:r>
      <w:r w:rsidRPr="00994DE8">
        <w:rPr>
          <w:i/>
        </w:rPr>
        <w:instrText xml:space="preserve"> TC"(</w:instrText>
      </w:r>
      <w:bookmarkStart w:id="2" w:name="DocNumber"/>
      <w:r w:rsidRPr="00994DE8">
        <w:rPr>
          <w:i/>
        </w:rPr>
        <w:instrText>A10-0194/2026</w:instrText>
      </w:r>
      <w:bookmarkEnd w:id="2"/>
      <w:r w:rsidRPr="00994DE8">
        <w:rPr>
          <w:i/>
        </w:rPr>
        <w:instrText xml:space="preserve"> - Relatore: Dominik </w:instrText>
      </w:r>
      <w:proofErr w:type="spellStart"/>
      <w:r w:rsidRPr="00994DE8">
        <w:rPr>
          <w:i/>
        </w:rPr>
        <w:instrText>Tarczyński</w:instrText>
      </w:r>
      <w:proofErr w:type="spellEnd"/>
      <w:r w:rsidRPr="00994DE8">
        <w:rPr>
          <w:i/>
        </w:rPr>
        <w:instrText xml:space="preserve">)"\l3 \n&gt; \* MERGEFORMAT </w:instrText>
      </w:r>
      <w:r w:rsidRPr="00994DE8">
        <w:rPr>
          <w:i/>
        </w:rPr>
        <w:fldChar w:fldCharType="end"/>
      </w:r>
    </w:p>
    <w:p w14:paraId="009D73CB" w14:textId="77777777" w:rsidR="00A57F43" w:rsidRPr="00994DE8" w:rsidRDefault="00A57F43" w:rsidP="00A57F43">
      <w:pPr>
        <w:rPr>
          <w:vanish/>
        </w:rPr>
      </w:pPr>
      <w:bookmarkStart w:id="3" w:name="Commission"/>
      <w:r w:rsidRPr="00994DE8">
        <w:rPr>
          <w:vanish/>
        </w:rPr>
        <w:t>Commissione giuridica</w:t>
      </w:r>
      <w:bookmarkEnd w:id="3"/>
    </w:p>
    <w:p w14:paraId="336FE7F2" w14:textId="77777777" w:rsidR="00A57F43" w:rsidRPr="00994DE8" w:rsidRDefault="00A57F43" w:rsidP="00A57F43">
      <w:pPr>
        <w:rPr>
          <w:vanish/>
        </w:rPr>
      </w:pPr>
      <w:bookmarkStart w:id="4" w:name="PE"/>
      <w:r w:rsidRPr="00994DE8">
        <w:rPr>
          <w:vanish/>
        </w:rPr>
        <w:t>PE789.052</w:t>
      </w:r>
      <w:bookmarkEnd w:id="4"/>
    </w:p>
    <w:p w14:paraId="67220767" w14:textId="77777777" w:rsidR="00A57F43" w:rsidRPr="00994DE8" w:rsidRDefault="00A57F43" w:rsidP="00A57F43">
      <w:pPr>
        <w:pStyle w:val="ATHeading3"/>
      </w:pPr>
      <w:bookmarkStart w:id="5" w:name="Sujet"/>
      <w:r w:rsidRPr="00994DE8">
        <w:t xml:space="preserve">Decisione del Parlamento europeo del 7 luglio 2026 sulla richiesta di revoca dell'immunità di </w:t>
      </w:r>
      <w:proofErr w:type="spellStart"/>
      <w:r w:rsidRPr="00994DE8">
        <w:t>Ilhan</w:t>
      </w:r>
      <w:proofErr w:type="spellEnd"/>
      <w:r w:rsidRPr="00994DE8">
        <w:t xml:space="preserve"> </w:t>
      </w:r>
      <w:proofErr w:type="spellStart"/>
      <w:r w:rsidRPr="00994DE8">
        <w:t>Kyuchyuk</w:t>
      </w:r>
      <w:bookmarkEnd w:id="5"/>
      <w:proofErr w:type="spellEnd"/>
      <w:r w:rsidRPr="00994DE8">
        <w:t xml:space="preserve"> </w:t>
      </w:r>
      <w:bookmarkStart w:id="6" w:name="References"/>
      <w:r w:rsidRPr="00994DE8">
        <w:t>(2026/2000(IMM))</w:t>
      </w:r>
      <w:bookmarkEnd w:id="6"/>
    </w:p>
    <w:p w14:paraId="7DC8B37C" w14:textId="77777777" w:rsidR="000C673C" w:rsidRPr="00994DE8" w:rsidRDefault="000C673C" w:rsidP="000C673C">
      <w:pPr>
        <w:pStyle w:val="EPComma"/>
      </w:pPr>
      <w:bookmarkStart w:id="7" w:name="TextBodyBegin"/>
      <w:bookmarkEnd w:id="7"/>
      <w:r w:rsidRPr="00994DE8">
        <w:rPr>
          <w:i/>
          <w:iCs/>
        </w:rPr>
        <w:t>Il Parlamento europeo</w:t>
      </w:r>
      <w:r w:rsidRPr="00994DE8">
        <w:t>,</w:t>
      </w:r>
    </w:p>
    <w:p w14:paraId="179A9A01" w14:textId="4A868A5A" w:rsidR="000C673C" w:rsidRPr="00994DE8" w:rsidRDefault="000C673C" w:rsidP="000C673C">
      <w:pPr>
        <w:pStyle w:val="NormalHanging12a"/>
      </w:pPr>
      <w:r w:rsidRPr="00994DE8">
        <w:t>–</w:t>
      </w:r>
      <w:r w:rsidRPr="00994DE8">
        <w:tab/>
        <w:t xml:space="preserve">vista la richiesta di revoca dell'immunità di </w:t>
      </w:r>
      <w:proofErr w:type="spellStart"/>
      <w:r w:rsidRPr="00994DE8">
        <w:t>Ilhan</w:t>
      </w:r>
      <w:proofErr w:type="spellEnd"/>
      <w:r w:rsidRPr="00994DE8">
        <w:t xml:space="preserve"> </w:t>
      </w:r>
      <w:proofErr w:type="spellStart"/>
      <w:r w:rsidRPr="00994DE8">
        <w:t>Kyuchyuk</w:t>
      </w:r>
      <w:proofErr w:type="spellEnd"/>
      <w:r w:rsidRPr="00994DE8">
        <w:t>, presentata dal procuratore capo europeo</w:t>
      </w:r>
      <w:r w:rsidR="000824E9" w:rsidRPr="00994DE8">
        <w:t xml:space="preserve"> il 24 novembre 2025</w:t>
      </w:r>
      <w:r w:rsidRPr="00994DE8">
        <w:t xml:space="preserve">, in relazione a un'indagine in corso riguardante </w:t>
      </w:r>
      <w:proofErr w:type="spellStart"/>
      <w:r w:rsidRPr="00994DE8">
        <w:t>Ilhan</w:t>
      </w:r>
      <w:proofErr w:type="spellEnd"/>
      <w:r w:rsidRPr="00994DE8">
        <w:t xml:space="preserve"> </w:t>
      </w:r>
      <w:proofErr w:type="spellStart"/>
      <w:r w:rsidRPr="00994DE8">
        <w:t>Kyuchyuk</w:t>
      </w:r>
      <w:proofErr w:type="spellEnd"/>
      <w:r w:rsidRPr="00994DE8">
        <w:t>, e comunicata in Aula il 15 dicembre 2025,</w:t>
      </w:r>
    </w:p>
    <w:p w14:paraId="2112D8E1" w14:textId="77777777" w:rsidR="000C673C" w:rsidRPr="00994DE8" w:rsidRDefault="000C673C" w:rsidP="000C673C">
      <w:pPr>
        <w:pStyle w:val="NormalHanging12a"/>
      </w:pPr>
      <w:r w:rsidRPr="00994DE8">
        <w:t>–</w:t>
      </w:r>
      <w:r w:rsidRPr="00994DE8">
        <w:tab/>
        <w:t xml:space="preserve">avendo ascoltato </w:t>
      </w:r>
      <w:proofErr w:type="spellStart"/>
      <w:r w:rsidRPr="00994DE8">
        <w:t>Ilhan</w:t>
      </w:r>
      <w:proofErr w:type="spellEnd"/>
      <w:r w:rsidRPr="00994DE8">
        <w:t xml:space="preserve"> </w:t>
      </w:r>
      <w:proofErr w:type="spellStart"/>
      <w:r w:rsidRPr="00994DE8">
        <w:t>Kyuchyuk</w:t>
      </w:r>
      <w:proofErr w:type="spellEnd"/>
      <w:r w:rsidRPr="00994DE8">
        <w:t xml:space="preserve"> il 3 giugno 2026 a norma dell'articolo 9, paragrafo 6, del suo regolamento,</w:t>
      </w:r>
    </w:p>
    <w:p w14:paraId="6B16F246" w14:textId="77777777" w:rsidR="000C673C" w:rsidRPr="00994DE8" w:rsidRDefault="000C673C" w:rsidP="000C673C">
      <w:pPr>
        <w:pStyle w:val="NormalHanging12a"/>
      </w:pPr>
      <w:r w:rsidRPr="00994DE8">
        <w:t>–</w:t>
      </w:r>
      <w:r w:rsidRPr="00994DE8">
        <w:tab/>
        <w:t>visti gli articoli 8 e 9 del protocollo n. 7 sui privilegi e sulle immunità dell'Unione europea e l'articolo 6, paragrafo 2, dell'atto relativo all'elezione dei membri del Parlamento europeo a suffragio universale diretto, del 20 settembre 1976,</w:t>
      </w:r>
    </w:p>
    <w:p w14:paraId="6A594CA8" w14:textId="77777777" w:rsidR="000C673C" w:rsidRPr="00994DE8" w:rsidRDefault="000C673C" w:rsidP="000C673C">
      <w:pPr>
        <w:pStyle w:val="NormalHanging12a"/>
      </w:pPr>
      <w:r w:rsidRPr="00994DE8">
        <w:t>–</w:t>
      </w:r>
      <w:r w:rsidRPr="00994DE8">
        <w:tab/>
        <w:t>visto il regolamento (UE) 2017/1939 del Consiglio, del 12 ottobre 2017, relativo all'attuazione di una cooperazione rafforzata sull'istituzione della Procura europea</w:t>
      </w:r>
      <w:r w:rsidRPr="00994DE8">
        <w:rPr>
          <w:vertAlign w:val="superscript"/>
        </w:rPr>
        <w:footnoteReference w:id="1"/>
      </w:r>
      <w:r w:rsidRPr="00994DE8">
        <w:t>, in particolare l'articolo 29, paragrafo 2,</w:t>
      </w:r>
    </w:p>
    <w:p w14:paraId="7EDEB227" w14:textId="77777777" w:rsidR="000C673C" w:rsidRPr="00994DE8" w:rsidRDefault="000C673C" w:rsidP="000C673C">
      <w:pPr>
        <w:pStyle w:val="NormalHanging12a"/>
      </w:pPr>
      <w:r w:rsidRPr="00994DE8">
        <w:t>–</w:t>
      </w:r>
      <w:r w:rsidRPr="00994DE8">
        <w:tab/>
        <w:t>viste le sentenze pronunciate dalla Corte di giustizia dell'Unione europea il 21 ottobre 2008, 19 marzo 2010, 6 settembre 2011, 17 gennaio 2013 e 19 dicembre 2019</w:t>
      </w:r>
      <w:r w:rsidRPr="00994DE8">
        <w:rPr>
          <w:vertAlign w:val="superscript"/>
        </w:rPr>
        <w:footnoteReference w:id="2"/>
      </w:r>
      <w:r w:rsidRPr="00994DE8">
        <w:t>,</w:t>
      </w:r>
    </w:p>
    <w:p w14:paraId="40657C4D" w14:textId="77777777" w:rsidR="000C673C" w:rsidRPr="00994DE8" w:rsidRDefault="000C673C" w:rsidP="000C673C">
      <w:pPr>
        <w:pStyle w:val="NormalHanging12a"/>
      </w:pPr>
      <w:r w:rsidRPr="00994DE8">
        <w:t>–</w:t>
      </w:r>
      <w:r w:rsidRPr="00994DE8">
        <w:tab/>
        <w:t>visto l'articolo 70, paragrafo 1, della Costituzione della Repubblica di Bulgaria,</w:t>
      </w:r>
    </w:p>
    <w:p w14:paraId="105E72D0" w14:textId="77777777" w:rsidR="000C673C" w:rsidRPr="00994DE8" w:rsidRDefault="000C673C" w:rsidP="000C673C">
      <w:pPr>
        <w:pStyle w:val="NormalHanging12a"/>
      </w:pPr>
      <w:r w:rsidRPr="00994DE8">
        <w:lastRenderedPageBreak/>
        <w:t>–</w:t>
      </w:r>
      <w:r w:rsidRPr="00994DE8">
        <w:tab/>
        <w:t>visti l'articolo 5, paragrafo 2, l'articolo 6, paragrafo 1, e l'articolo 9 del suo regolamento,</w:t>
      </w:r>
    </w:p>
    <w:p w14:paraId="12674B10" w14:textId="77777777" w:rsidR="000C673C" w:rsidRPr="00994DE8" w:rsidRDefault="000C673C" w:rsidP="000C673C">
      <w:pPr>
        <w:pStyle w:val="NormalHanging12a"/>
      </w:pPr>
      <w:r w:rsidRPr="00994DE8">
        <w:t>–</w:t>
      </w:r>
      <w:r w:rsidRPr="00994DE8">
        <w:tab/>
        <w:t>vista la relazione della commissione giuridica (A10-0194/2026),</w:t>
      </w:r>
    </w:p>
    <w:p w14:paraId="1FB772D1" w14:textId="0ED6FEED" w:rsidR="000C673C" w:rsidRPr="00994DE8" w:rsidRDefault="000C673C" w:rsidP="000C673C">
      <w:pPr>
        <w:pStyle w:val="NormalHanging12a"/>
      </w:pPr>
      <w:r w:rsidRPr="00994DE8">
        <w:t>A.</w:t>
      </w:r>
      <w:r w:rsidRPr="00994DE8">
        <w:tab/>
        <w:t>considerando che</w:t>
      </w:r>
      <w:r w:rsidR="000824E9" w:rsidRPr="00994DE8">
        <w:t xml:space="preserve"> il</w:t>
      </w:r>
      <w:r w:rsidRPr="00994DE8">
        <w:t xml:space="preserve"> 24 novembre 2025 il procuratore capo europeo ha trasmesso una richiesta di revoca dell'immunità di </w:t>
      </w:r>
      <w:proofErr w:type="spellStart"/>
      <w:r w:rsidRPr="00994DE8">
        <w:t>Ilhan</w:t>
      </w:r>
      <w:proofErr w:type="spellEnd"/>
      <w:r w:rsidRPr="00994DE8">
        <w:t xml:space="preserve"> </w:t>
      </w:r>
      <w:proofErr w:type="spellStart"/>
      <w:r w:rsidRPr="00994DE8">
        <w:t>Kyuchyuk</w:t>
      </w:r>
      <w:proofErr w:type="spellEnd"/>
      <w:r w:rsidRPr="00994DE8">
        <w:t>, deputato al Parlamento europeo eletto in Bulgaria, in relazione a un'indagine in corso su diversi presunti reati che comportano l'uso improprio di fondi dell'Unione;</w:t>
      </w:r>
    </w:p>
    <w:p w14:paraId="5BBC72C6" w14:textId="09D8D766" w:rsidR="000C673C" w:rsidRPr="00994DE8" w:rsidRDefault="000C673C" w:rsidP="000C673C">
      <w:pPr>
        <w:pStyle w:val="NormalHanging12a"/>
      </w:pPr>
      <w:r w:rsidRPr="00994DE8">
        <w:t>B.</w:t>
      </w:r>
      <w:r w:rsidRPr="00994DE8">
        <w:tab/>
        <w:t xml:space="preserve">considerando che, secondo la richiesta, un'indagine condotta in Bulgaria dal procuratore europeo delegato avrebbe rilevato che tutti gli assistenti locali di </w:t>
      </w:r>
      <w:proofErr w:type="spellStart"/>
      <w:r w:rsidRPr="00994DE8">
        <w:t>Ilhan</w:t>
      </w:r>
      <w:proofErr w:type="spellEnd"/>
      <w:r w:rsidRPr="00994DE8">
        <w:t xml:space="preserve"> </w:t>
      </w:r>
      <w:proofErr w:type="spellStart"/>
      <w:r w:rsidRPr="00994DE8">
        <w:t>Kyuchyuk</w:t>
      </w:r>
      <w:proofErr w:type="spellEnd"/>
      <w:r w:rsidRPr="00994DE8">
        <w:t xml:space="preserve"> lavoravano in uffici gestiti da un partito politico nazionale e la maggior parte delle spese legate al lavoro sarebbe stata a carico d</w:t>
      </w:r>
      <w:r w:rsidR="000824E9" w:rsidRPr="00994DE8">
        <w:t>i tale</w:t>
      </w:r>
      <w:r w:rsidRPr="00994DE8">
        <w:t xml:space="preserve"> partito, mentre </w:t>
      </w:r>
      <w:proofErr w:type="spellStart"/>
      <w:r w:rsidRPr="00994DE8">
        <w:t>Ilhan</w:t>
      </w:r>
      <w:proofErr w:type="spellEnd"/>
      <w:r w:rsidRPr="00994DE8">
        <w:t xml:space="preserve"> </w:t>
      </w:r>
      <w:proofErr w:type="spellStart"/>
      <w:r w:rsidRPr="00994DE8">
        <w:t>Kyuchyuk</w:t>
      </w:r>
      <w:proofErr w:type="spellEnd"/>
      <w:r w:rsidRPr="00994DE8">
        <w:t xml:space="preserve"> avrebbe pagato solo le loro retribuzioni; che si presume inoltre che molti assistenti locali abbiano ricoperto ruoli pubblici all'interno d</w:t>
      </w:r>
      <w:r w:rsidR="000824E9" w:rsidRPr="00994DE8">
        <w:t>i tale</w:t>
      </w:r>
      <w:r w:rsidRPr="00994DE8">
        <w:t xml:space="preserve"> nazionale, per i quali hanno ricevuto una retribuzione distinta; che l'indagine riguarda un periodo di oltre 10 anni;</w:t>
      </w:r>
    </w:p>
    <w:p w14:paraId="678BEE45" w14:textId="0BD4987B" w:rsidR="000C673C" w:rsidRPr="00994DE8" w:rsidRDefault="000C673C" w:rsidP="000C673C">
      <w:pPr>
        <w:pStyle w:val="NormalHanging12a"/>
      </w:pPr>
      <w:r w:rsidRPr="00994DE8">
        <w:t>C.</w:t>
      </w:r>
      <w:r w:rsidRPr="00994DE8">
        <w:tab/>
        <w:t>considerando che, secondo la richiesta, i presunti fatti pot</w:t>
      </w:r>
      <w:r w:rsidR="000824E9" w:rsidRPr="00994DE8">
        <w:t>rebbero</w:t>
      </w:r>
      <w:r w:rsidRPr="00994DE8">
        <w:t xml:space="preserve"> costituire reati di </w:t>
      </w:r>
      <w:r w:rsidR="000824E9" w:rsidRPr="00994DE8">
        <w:t>“</w:t>
      </w:r>
      <w:r w:rsidRPr="00994DE8">
        <w:t>frode non relativa ad appalti – dichiarazioni/documenti falsi/inesatti/incompleti</w:t>
      </w:r>
      <w:r w:rsidR="000824E9" w:rsidRPr="00994DE8">
        <w:t xml:space="preserve">”, </w:t>
      </w:r>
      <w:r w:rsidRPr="00994DE8">
        <w:t xml:space="preserve">nonché di appropriazione indebita di fondi dell'Unione e corruzione, reati punibili a norma dell'articolo 248 bis del </w:t>
      </w:r>
      <w:proofErr w:type="gramStart"/>
      <w:r w:rsidRPr="00994DE8">
        <w:t>codice penale</w:t>
      </w:r>
      <w:proofErr w:type="gramEnd"/>
      <w:r w:rsidRPr="00994DE8">
        <w:t xml:space="preserve"> bulgaro; che la richiesta fa altresì riferimento al "coinvolgimento in atti contrari alla sovranità e alla sicurezza dell'Unione europea";</w:t>
      </w:r>
    </w:p>
    <w:p w14:paraId="7E40ACD2" w14:textId="0CE9DF08" w:rsidR="000C673C" w:rsidRPr="00994DE8" w:rsidRDefault="000C673C" w:rsidP="000C673C">
      <w:pPr>
        <w:pStyle w:val="NormalHanging12a"/>
      </w:pPr>
      <w:r w:rsidRPr="00994DE8">
        <w:t>D.</w:t>
      </w:r>
      <w:r w:rsidRPr="00994DE8">
        <w:tab/>
        <w:t xml:space="preserve">considerando che </w:t>
      </w:r>
      <w:proofErr w:type="spellStart"/>
      <w:r w:rsidRPr="00994DE8">
        <w:t>Ilhan</w:t>
      </w:r>
      <w:proofErr w:type="spellEnd"/>
      <w:r w:rsidRPr="00994DE8">
        <w:t xml:space="preserve"> </w:t>
      </w:r>
      <w:proofErr w:type="spellStart"/>
      <w:r w:rsidRPr="00994DE8">
        <w:t>Kyuchyuk</w:t>
      </w:r>
      <w:proofErr w:type="spellEnd"/>
      <w:r w:rsidRPr="00994DE8">
        <w:t xml:space="preserve"> è stato eletto al Parlamento europeo </w:t>
      </w:r>
      <w:r w:rsidR="000824E9" w:rsidRPr="00994DE8">
        <w:t>alle</w:t>
      </w:r>
      <w:r w:rsidRPr="00994DE8">
        <w:t xml:space="preserve"> elezioni europee del maggio 2014 e rieletto a maggio 2019 e </w:t>
      </w:r>
      <w:r w:rsidR="000824E9" w:rsidRPr="00994DE8">
        <w:t xml:space="preserve">nuovamente </w:t>
      </w:r>
      <w:r w:rsidRPr="00994DE8">
        <w:t>a giugno 2024 e</w:t>
      </w:r>
      <w:r w:rsidR="000824E9" w:rsidRPr="00994DE8">
        <w:t>, che, pertanto,</w:t>
      </w:r>
      <w:r w:rsidRPr="00994DE8">
        <w:t xml:space="preserve"> era deputato al Parlamento europeo</w:t>
      </w:r>
      <w:r w:rsidR="000824E9" w:rsidRPr="00994DE8">
        <w:t xml:space="preserve"> all’epoca dei presunti reati</w:t>
      </w:r>
      <w:r w:rsidRPr="00994DE8">
        <w:t>;</w:t>
      </w:r>
    </w:p>
    <w:p w14:paraId="1232F9BD" w14:textId="77777777" w:rsidR="000C673C" w:rsidRPr="00994DE8" w:rsidRDefault="000C673C" w:rsidP="000C673C">
      <w:pPr>
        <w:pStyle w:val="NormalHanging12a"/>
      </w:pPr>
      <w:bookmarkStart w:id="8" w:name="_Hlk232158221"/>
      <w:r w:rsidRPr="00994DE8">
        <w:t>E.</w:t>
      </w:r>
      <w:r w:rsidRPr="00994DE8">
        <w:tab/>
        <w:t>considerando che l'articolo 8 del protocollo n. 7 sui privilegi e sulle immunità dell'Unione europea prevede che i membri del Parlamento europeo non possano essere ricercati, detenuti o perseguiti a motivo delle opinioni o dei voti espressi nell'esercizio delle loro funzioni;</w:t>
      </w:r>
      <w:bookmarkEnd w:id="8"/>
    </w:p>
    <w:p w14:paraId="48A38E78" w14:textId="35315939" w:rsidR="000C673C" w:rsidRPr="00994DE8" w:rsidRDefault="000C673C" w:rsidP="000C673C">
      <w:pPr>
        <w:pStyle w:val="NormalHanging12a"/>
        <w:rPr>
          <w:bCs/>
        </w:rPr>
      </w:pPr>
      <w:r w:rsidRPr="00994DE8">
        <w:t>F.</w:t>
      </w:r>
      <w:r w:rsidRPr="00994DE8">
        <w:tab/>
        <w:t xml:space="preserve">considerando che i presunti reati e la successiva richiesta di revoca dell'immunità di </w:t>
      </w:r>
      <w:proofErr w:type="spellStart"/>
      <w:r w:rsidRPr="00994DE8">
        <w:t>Ilhan</w:t>
      </w:r>
      <w:proofErr w:type="spellEnd"/>
      <w:r w:rsidRPr="00994DE8">
        <w:t xml:space="preserve"> </w:t>
      </w:r>
      <w:proofErr w:type="spellStart"/>
      <w:r w:rsidRPr="00994DE8">
        <w:t>Kyuchyuk</w:t>
      </w:r>
      <w:proofErr w:type="spellEnd"/>
      <w:r w:rsidRPr="00994DE8">
        <w:t xml:space="preserve"> non si riferiscono a opinion</w:t>
      </w:r>
      <w:r w:rsidR="0058626A" w:rsidRPr="00994DE8">
        <w:t>i</w:t>
      </w:r>
      <w:r w:rsidRPr="00994DE8">
        <w:t xml:space="preserve"> o vot</w:t>
      </w:r>
      <w:r w:rsidR="0058626A" w:rsidRPr="00994DE8">
        <w:t>i</w:t>
      </w:r>
      <w:r w:rsidRPr="00994DE8">
        <w:t xml:space="preserve"> espressi da quest'ultimo nell'esercizio delle sue funzioni ai sensi dell'articolo 8 del protocollo n. 7 sui privilegi e sulle immunità dell'Unione europea;</w:t>
      </w:r>
    </w:p>
    <w:p w14:paraId="459D5E05" w14:textId="509F81CE" w:rsidR="000C673C" w:rsidRPr="00994DE8" w:rsidRDefault="000C673C" w:rsidP="000C673C">
      <w:pPr>
        <w:pStyle w:val="NormalHanging12a"/>
      </w:pPr>
      <w:r w:rsidRPr="00994DE8">
        <w:t>G.</w:t>
      </w:r>
      <w:r w:rsidRPr="00994DE8">
        <w:tab/>
        <w:t>considerando che l'articolo 9, primo comma, lettera a), del protocollo n. 7 sui privilegi e sulle immunità dell'Unione europea stabilisce che</w:t>
      </w:r>
      <w:r w:rsidR="0058626A" w:rsidRPr="00994DE8">
        <w:t>, per la durata delle sessioni del Parlamento europeo,</w:t>
      </w:r>
      <w:r w:rsidRPr="00994DE8">
        <w:t xml:space="preserve"> i </w:t>
      </w:r>
      <w:r w:rsidR="002A47AA" w:rsidRPr="00994DE8">
        <w:t xml:space="preserve">suoi </w:t>
      </w:r>
      <w:r w:rsidRPr="00994DE8">
        <w:t>membri beneficiano, sul territorio nazionale, delle immunità riconosciute ai membri del parlamento del loro Stato membro;</w:t>
      </w:r>
    </w:p>
    <w:p w14:paraId="412CCA25" w14:textId="77777777" w:rsidR="000C673C" w:rsidRPr="00994DE8" w:rsidRDefault="000C673C" w:rsidP="000C673C">
      <w:pPr>
        <w:pStyle w:val="NormalHanging12a"/>
      </w:pPr>
      <w:r w:rsidRPr="00994DE8">
        <w:t>H.</w:t>
      </w:r>
      <w:r w:rsidRPr="00994DE8">
        <w:tab/>
        <w:t>considerando che l'articolo 70, paragrafo 1, della Costituzione della Repubblica di Bulgaria stabilisce che "un membro dell'Assemblea nazionale è soggetto a immunità dalla detenzione o dall'azione penale, fatta eccezione per la commissione di un reato, e in tal caso è richiesta l'autorizzazione dell'Assemblea nazionale o, tra una sessione e l'altra, del presidente dell'Assemblea nazionale.";</w:t>
      </w:r>
    </w:p>
    <w:p w14:paraId="6E53CF98" w14:textId="77777777" w:rsidR="000C673C" w:rsidRPr="00994DE8" w:rsidRDefault="000C673C" w:rsidP="000C673C">
      <w:pPr>
        <w:pStyle w:val="NormalHanging12a"/>
      </w:pPr>
      <w:r w:rsidRPr="00994DE8">
        <w:t>I.</w:t>
      </w:r>
      <w:r w:rsidRPr="00994DE8">
        <w:tab/>
        <w:t xml:space="preserve">considerando che l'immunità prevista dal protocollo n. 7 sui privilegi e sulle immunità dell'Unione europea è intesa a proteggere il Parlamento e i deputati che lo compongono da procedimenti giudiziari relativi ad attività svolte nell'esercizio del mandato </w:t>
      </w:r>
      <w:r w:rsidRPr="00994DE8">
        <w:lastRenderedPageBreak/>
        <w:t>parlamentare e che non possono essere disgiunte da esso;</w:t>
      </w:r>
    </w:p>
    <w:p w14:paraId="204FF87A" w14:textId="77777777" w:rsidR="000C673C" w:rsidRPr="00994DE8" w:rsidRDefault="000C673C" w:rsidP="000C673C">
      <w:pPr>
        <w:pStyle w:val="NormalHanging12a"/>
      </w:pPr>
      <w:r w:rsidRPr="00994DE8">
        <w:t>J.</w:t>
      </w:r>
      <w:r w:rsidRPr="00994DE8">
        <w:tab/>
        <w:t>considerando che, a norma dell'articolo 5, paragrafo 2, del suo regolamento, l'immunità parlamentare non è un privilegio personale del deputato ma una garanzia di indipendenza del Parlamento in quanto istituzione e dei suoi membri;</w:t>
      </w:r>
    </w:p>
    <w:p w14:paraId="36FC1658" w14:textId="77777777" w:rsidR="000C673C" w:rsidRPr="00994DE8" w:rsidRDefault="000C673C" w:rsidP="000C673C">
      <w:pPr>
        <w:pStyle w:val="NormalHanging12a"/>
      </w:pPr>
      <w:r w:rsidRPr="00994DE8">
        <w:t>K.</w:t>
      </w:r>
      <w:r w:rsidRPr="00994DE8">
        <w:tab/>
        <w:t>considerando, da un lato, che il Parlamento non dovrebbe essere assimilato a un tribunale e, dall'altro, che il deputato non dovrebbe, nel contesto di una procedura di revoca dell'immunità, essere considerato un "accusato"</w:t>
      </w:r>
      <w:r w:rsidRPr="00994DE8">
        <w:rPr>
          <w:vertAlign w:val="superscript"/>
        </w:rPr>
        <w:footnoteReference w:id="3"/>
      </w:r>
      <w:r w:rsidRPr="00994DE8">
        <w:t>;</w:t>
      </w:r>
    </w:p>
    <w:p w14:paraId="7FF20661" w14:textId="07326799" w:rsidR="000C673C" w:rsidRPr="00994DE8" w:rsidRDefault="000C673C" w:rsidP="000C673C">
      <w:pPr>
        <w:pStyle w:val="NormalHanging12a"/>
      </w:pPr>
      <w:r w:rsidRPr="00994DE8">
        <w:t>L.</w:t>
      </w:r>
      <w:r w:rsidRPr="00994DE8">
        <w:tab/>
        <w:t>considerando che la richiesta di revoca dell'immunità è stata presentata dal procuratore capo europeo a seguito di un'indagine del procuratore europeo delegato in Bulgaria; che è noto che l</w:t>
      </w:r>
      <w:r w:rsidR="002A47AA" w:rsidRPr="00994DE8">
        <w:t>a</w:t>
      </w:r>
      <w:r w:rsidRPr="00994DE8">
        <w:t xml:space="preserve"> procurat</w:t>
      </w:r>
      <w:r w:rsidR="002A47AA" w:rsidRPr="00994DE8">
        <w:t>rice</w:t>
      </w:r>
      <w:r w:rsidRPr="00994DE8">
        <w:t xml:space="preserve"> europe</w:t>
      </w:r>
      <w:r w:rsidR="002A47AA" w:rsidRPr="00994DE8">
        <w:t>a</w:t>
      </w:r>
      <w:r w:rsidRPr="00994DE8">
        <w:t xml:space="preserve"> bulgar</w:t>
      </w:r>
      <w:r w:rsidR="002A47AA" w:rsidRPr="00994DE8">
        <w:t>a</w:t>
      </w:r>
      <w:r w:rsidRPr="00994DE8">
        <w:t xml:space="preserve"> sia stato temporaneamente sospes</w:t>
      </w:r>
      <w:r w:rsidR="002A47AA" w:rsidRPr="00994DE8">
        <w:t>a</w:t>
      </w:r>
      <w:r w:rsidRPr="00994DE8">
        <w:t xml:space="preserve"> nel marzo 2025, nelle more di un'indagine su una potenziale condotta scorretta, e che a febbraio 2026 il collegio della Procura europea ha dichiarato l</w:t>
      </w:r>
      <w:r w:rsidR="002A47AA" w:rsidRPr="00994DE8">
        <w:t>a</w:t>
      </w:r>
      <w:r w:rsidRPr="00994DE8">
        <w:t xml:space="preserve"> procurat</w:t>
      </w:r>
      <w:r w:rsidR="002A47AA" w:rsidRPr="00994DE8">
        <w:t>rice</w:t>
      </w:r>
      <w:r w:rsidRPr="00994DE8">
        <w:t xml:space="preserve"> europe</w:t>
      </w:r>
      <w:r w:rsidR="002A47AA" w:rsidRPr="00994DE8">
        <w:t>a</w:t>
      </w:r>
      <w:r w:rsidRPr="00994DE8">
        <w:t xml:space="preserve"> bulgar</w:t>
      </w:r>
      <w:r w:rsidR="002A47AA" w:rsidRPr="00994DE8">
        <w:t>a</w:t>
      </w:r>
      <w:r w:rsidRPr="00994DE8">
        <w:t xml:space="preserve"> colpevole di inadempienza grave; che, come indicato nella richiesta di revoca dell'immunità, </w:t>
      </w:r>
      <w:proofErr w:type="spellStart"/>
      <w:r w:rsidRPr="00994DE8">
        <w:t>Ilhan</w:t>
      </w:r>
      <w:proofErr w:type="spellEnd"/>
      <w:r w:rsidRPr="00994DE8">
        <w:t xml:space="preserve"> </w:t>
      </w:r>
      <w:proofErr w:type="spellStart"/>
      <w:r w:rsidRPr="00994DE8">
        <w:t>Kyuchyuk</w:t>
      </w:r>
      <w:proofErr w:type="spellEnd"/>
      <w:r w:rsidRPr="00994DE8">
        <w:t xml:space="preserve"> è membro del partito politico bulgaro Movimento per i diritti e le libertà; che</w:t>
      </w:r>
      <w:r w:rsidR="008105EC" w:rsidRPr="00994DE8">
        <w:t xml:space="preserve"> sembrerebbe che</w:t>
      </w:r>
      <w:r w:rsidRPr="00994DE8">
        <w:t xml:space="preserve"> </w:t>
      </w:r>
      <w:proofErr w:type="spellStart"/>
      <w:r w:rsidRPr="00994DE8">
        <w:t>Ilhan</w:t>
      </w:r>
      <w:proofErr w:type="spellEnd"/>
      <w:r w:rsidRPr="00994DE8">
        <w:t xml:space="preserve"> </w:t>
      </w:r>
      <w:proofErr w:type="spellStart"/>
      <w:r w:rsidRPr="00994DE8">
        <w:t>Kyuchyuk</w:t>
      </w:r>
      <w:proofErr w:type="spellEnd"/>
      <w:r w:rsidRPr="00994DE8">
        <w:t xml:space="preserve"> </w:t>
      </w:r>
      <w:r w:rsidR="008105EC" w:rsidRPr="00994DE8">
        <w:t>sia</w:t>
      </w:r>
      <w:r w:rsidRPr="00994DE8">
        <w:t xml:space="preserve"> stato oggetto di attacchi in Bulgaria da parte di un avversario politico all'interno d</w:t>
      </w:r>
      <w:r w:rsidR="008105EC" w:rsidRPr="00994DE8">
        <w:t xml:space="preserve">i tale </w:t>
      </w:r>
      <w:r w:rsidRPr="00994DE8">
        <w:t>partito in relazione a</w:t>
      </w:r>
      <w:r w:rsidR="008105EC" w:rsidRPr="00994DE8">
        <w:t xml:space="preserve"> una</w:t>
      </w:r>
      <w:r w:rsidRPr="00994DE8">
        <w:t xml:space="preserve"> situazione </w:t>
      </w:r>
      <w:r w:rsidR="00D12E9D" w:rsidRPr="00994DE8">
        <w:t>n</w:t>
      </w:r>
      <w:r w:rsidRPr="00994DE8">
        <w:t xml:space="preserve">el partito stesso che </w:t>
      </w:r>
      <w:proofErr w:type="spellStart"/>
      <w:r w:rsidRPr="00994DE8">
        <w:t>Ilhan</w:t>
      </w:r>
      <w:proofErr w:type="spellEnd"/>
      <w:r w:rsidRPr="00994DE8">
        <w:t xml:space="preserve"> </w:t>
      </w:r>
      <w:proofErr w:type="spellStart"/>
      <w:r w:rsidRPr="00994DE8">
        <w:t>Kyuchyuk</w:t>
      </w:r>
      <w:proofErr w:type="spellEnd"/>
      <w:r w:rsidRPr="00994DE8">
        <w:t xml:space="preserve"> ha denunciato pubblicamente; che </w:t>
      </w:r>
      <w:proofErr w:type="spellStart"/>
      <w:r w:rsidRPr="00994DE8">
        <w:t>Ilhan</w:t>
      </w:r>
      <w:proofErr w:type="spellEnd"/>
      <w:r w:rsidRPr="00994DE8">
        <w:t xml:space="preserve"> </w:t>
      </w:r>
      <w:proofErr w:type="spellStart"/>
      <w:r w:rsidRPr="00994DE8">
        <w:t>Kyuchyuk</w:t>
      </w:r>
      <w:proofErr w:type="spellEnd"/>
      <w:r w:rsidRPr="00994DE8">
        <w:t xml:space="preserve"> sembra essere stato oggetto di accuse e attacchi infondati in Bulgaria nel periodo in cui </w:t>
      </w:r>
      <w:r w:rsidR="008105EC" w:rsidRPr="00994DE8">
        <w:t>il suo nome è</w:t>
      </w:r>
      <w:r w:rsidRPr="00994DE8">
        <w:t xml:space="preserve"> stato proposto </w:t>
      </w:r>
      <w:r w:rsidR="008105EC" w:rsidRPr="00994DE8">
        <w:t>per</w:t>
      </w:r>
      <w:r w:rsidRPr="00994DE8">
        <w:t xml:space="preserve"> diventare presidente della commissione giuridica del Parlamento</w:t>
      </w:r>
      <w:r w:rsidR="008105EC" w:rsidRPr="00994DE8">
        <w:t xml:space="preserve"> europeo</w:t>
      </w:r>
      <w:r w:rsidRPr="00994DE8">
        <w:t xml:space="preserve">; che sembra essere stato oggetto di controlli anticorruzione gravemente sproporzionati in Bulgaria, ma che non sono mai state riscontrate irregolarità; </w:t>
      </w:r>
    </w:p>
    <w:p w14:paraId="02EBC455" w14:textId="0532565A" w:rsidR="000C673C" w:rsidRPr="00994DE8" w:rsidRDefault="000C673C" w:rsidP="000C673C">
      <w:pPr>
        <w:pStyle w:val="NormalHanging12a"/>
      </w:pPr>
      <w:r w:rsidRPr="00994DE8">
        <w:t>M.</w:t>
      </w:r>
      <w:r w:rsidRPr="00994DE8">
        <w:tab/>
        <w:t xml:space="preserve">considerando che i seri dubbi </w:t>
      </w:r>
      <w:r w:rsidR="00A710C4" w:rsidRPr="00994DE8">
        <w:t>relativi al</w:t>
      </w:r>
      <w:r w:rsidR="00184B5A" w:rsidRPr="00994DE8">
        <w:t>la richiesta di revoca dell’immunità dopo la constatazione</w:t>
      </w:r>
      <w:r w:rsidRPr="00994DE8">
        <w:t xml:space="preserve"> di un'inadempienza grave da parte del procuratore europeo bulgaro – sotto la cui supervisione è stata svolta l'indagine che ha </w:t>
      </w:r>
      <w:r w:rsidR="00184B5A" w:rsidRPr="00994DE8">
        <w:t>dato luogo</w:t>
      </w:r>
      <w:r w:rsidRPr="00994DE8">
        <w:t xml:space="preserve"> alla richiesta – unitamente al contesto in cui</w:t>
      </w:r>
      <w:r w:rsidR="00184B5A" w:rsidRPr="00994DE8">
        <w:t xml:space="preserve"> la richiesta </w:t>
      </w:r>
      <w:r w:rsidRPr="00994DE8">
        <w:t xml:space="preserve"> è stata presentata, alla palese mancanza di precisione dei fatti oggetto dell'indagine e </w:t>
      </w:r>
      <w:r w:rsidR="00184B5A" w:rsidRPr="00994DE8">
        <w:t>de</w:t>
      </w:r>
      <w:r w:rsidRPr="00994DE8">
        <w:t xml:space="preserve">i presunti reati come presentati nella richiesta, </w:t>
      </w:r>
      <w:r w:rsidR="00184B5A" w:rsidRPr="00994DE8">
        <w:t>nonché</w:t>
      </w:r>
      <w:r w:rsidRPr="00994DE8">
        <w:t xml:space="preserve"> a un impatto reputazionale sproporzionato, c</w:t>
      </w:r>
      <w:r w:rsidR="00184B5A" w:rsidRPr="00994DE8">
        <w:t>ostituiscono</w:t>
      </w:r>
      <w:r w:rsidRPr="00994DE8">
        <w:t xml:space="preserve"> una serie di indizi seri e oggettivi del fatto che l'indagine possa essere stata avviata con la motivazione di compromettere deliberatamente </w:t>
      </w:r>
      <w:proofErr w:type="spellStart"/>
      <w:r w:rsidRPr="00994DE8">
        <w:t>Ilhan</w:t>
      </w:r>
      <w:proofErr w:type="spellEnd"/>
      <w:r w:rsidRPr="00994DE8">
        <w:t xml:space="preserve"> </w:t>
      </w:r>
      <w:proofErr w:type="spellStart"/>
      <w:r w:rsidRPr="00994DE8">
        <w:t>Kyuchyuk</w:t>
      </w:r>
      <w:proofErr w:type="spellEnd"/>
      <w:r w:rsidRPr="00994DE8">
        <w:t xml:space="preserve">; </w:t>
      </w:r>
    </w:p>
    <w:p w14:paraId="29D7A58E" w14:textId="40EDC64F" w:rsidR="000C673C" w:rsidRPr="00994DE8" w:rsidRDefault="000C673C" w:rsidP="000C673C">
      <w:pPr>
        <w:pStyle w:val="NormalHanging12a"/>
      </w:pPr>
      <w:r w:rsidRPr="00994DE8">
        <w:t>N.</w:t>
      </w:r>
      <w:r w:rsidRPr="00994DE8">
        <w:tab/>
        <w:t xml:space="preserve">considerando che sembrerebbe, nel caso di specie, </w:t>
      </w:r>
      <w:r w:rsidR="0014218C" w:rsidRPr="00994DE8">
        <w:t xml:space="preserve">che si possa presupporre la sussistenza </w:t>
      </w:r>
      <w:r w:rsidRPr="00994DE8">
        <w:t xml:space="preserve">di </w:t>
      </w:r>
      <w:r w:rsidRPr="00994DE8">
        <w:rPr>
          <w:i/>
          <w:iCs/>
        </w:rPr>
        <w:t xml:space="preserve">fumus </w:t>
      </w:r>
      <w:proofErr w:type="spellStart"/>
      <w:r w:rsidRPr="00994DE8">
        <w:rPr>
          <w:i/>
          <w:iCs/>
        </w:rPr>
        <w:t>persecutioni</w:t>
      </w:r>
      <w:r w:rsidRPr="00994DE8">
        <w:t>s</w:t>
      </w:r>
      <w:proofErr w:type="spellEnd"/>
      <w:r w:rsidRPr="00994DE8">
        <w:t xml:space="preserve">, vale a dire che l'intento alla base del procedimento giudiziario in questione sia quello di </w:t>
      </w:r>
      <w:r w:rsidR="00184B5A" w:rsidRPr="00994DE8">
        <w:t>recare pregiudizio</w:t>
      </w:r>
      <w:r w:rsidRPr="00994DE8">
        <w:t xml:space="preserve"> </w:t>
      </w:r>
      <w:r w:rsidR="00184B5A" w:rsidRPr="00994DE8">
        <w:t>al</w:t>
      </w:r>
      <w:r w:rsidRPr="00994DE8">
        <w:t xml:space="preserve">l'attività politica di </w:t>
      </w:r>
      <w:proofErr w:type="spellStart"/>
      <w:r w:rsidRPr="00994DE8">
        <w:t>Ilhan</w:t>
      </w:r>
      <w:proofErr w:type="spellEnd"/>
      <w:r w:rsidRPr="00994DE8">
        <w:t xml:space="preserve"> </w:t>
      </w:r>
      <w:proofErr w:type="spellStart"/>
      <w:r w:rsidRPr="00994DE8">
        <w:t>Kyuchyuk</w:t>
      </w:r>
      <w:proofErr w:type="spellEnd"/>
      <w:r w:rsidRPr="00994DE8">
        <w:t xml:space="preserve"> in quanto deputato al Parlamento europeo e, di conseguenza, </w:t>
      </w:r>
      <w:r w:rsidR="00184B5A" w:rsidRPr="00994DE8">
        <w:t>al</w:t>
      </w:r>
      <w:r w:rsidRPr="00994DE8">
        <w:t>l'indipendenza del Parlamento;</w:t>
      </w:r>
    </w:p>
    <w:p w14:paraId="50F706AA" w14:textId="77777777" w:rsidR="000C673C" w:rsidRPr="00994DE8" w:rsidRDefault="000C673C" w:rsidP="000C673C">
      <w:pPr>
        <w:pStyle w:val="NormalHanging12a"/>
      </w:pPr>
      <w:r w:rsidRPr="00994DE8">
        <w:t>1.</w:t>
      </w:r>
      <w:r w:rsidRPr="00994DE8">
        <w:tab/>
        <w:t xml:space="preserve">decide di non revocare l'immunità di </w:t>
      </w:r>
      <w:proofErr w:type="spellStart"/>
      <w:r w:rsidRPr="00994DE8">
        <w:t>Ilhan</w:t>
      </w:r>
      <w:proofErr w:type="spellEnd"/>
      <w:r w:rsidRPr="00994DE8">
        <w:t xml:space="preserve"> </w:t>
      </w:r>
      <w:proofErr w:type="spellStart"/>
      <w:r w:rsidRPr="00994DE8">
        <w:t>Kyuchyuk</w:t>
      </w:r>
      <w:proofErr w:type="spellEnd"/>
      <w:r w:rsidRPr="00994DE8">
        <w:t>;</w:t>
      </w:r>
    </w:p>
    <w:p w14:paraId="2FC77C94" w14:textId="77777777" w:rsidR="00CA499E" w:rsidRPr="00994DE8" w:rsidRDefault="000C673C" w:rsidP="00CA499E">
      <w:pPr>
        <w:pStyle w:val="NormalHanging12a"/>
      </w:pPr>
      <w:r w:rsidRPr="00994DE8">
        <w:t>2.</w:t>
      </w:r>
      <w:r w:rsidRPr="00994DE8">
        <w:tab/>
        <w:t xml:space="preserve">incarica la sua Presidente di trasmettere immediatamente la presente decisione e la relazione della sua commissione competente alla Procura europea e a </w:t>
      </w:r>
      <w:proofErr w:type="spellStart"/>
      <w:r w:rsidRPr="00994DE8">
        <w:t>Ilhan</w:t>
      </w:r>
      <w:proofErr w:type="spellEnd"/>
      <w:r w:rsidRPr="00994DE8">
        <w:t xml:space="preserve"> </w:t>
      </w:r>
      <w:proofErr w:type="spellStart"/>
      <w:r w:rsidRPr="00994DE8">
        <w:t>Kyuchyuk</w:t>
      </w:r>
      <w:proofErr w:type="spellEnd"/>
      <w:r w:rsidRPr="00994DE8">
        <w:t>.</w:t>
      </w:r>
    </w:p>
    <w:p w14:paraId="130304EC" w14:textId="77777777" w:rsidR="00E365E1" w:rsidRPr="00994DE8" w:rsidRDefault="00E365E1" w:rsidP="00A57F43"/>
    <w:sectPr w:rsidR="00E365E1" w:rsidRPr="00994DE8" w:rsidSect="00CA49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35646" w14:textId="77777777" w:rsidR="00A57F43" w:rsidRPr="00CA499E" w:rsidRDefault="00A57F43">
      <w:r w:rsidRPr="00CA499E">
        <w:separator/>
      </w:r>
    </w:p>
  </w:endnote>
  <w:endnote w:type="continuationSeparator" w:id="0">
    <w:p w14:paraId="21377031" w14:textId="77777777" w:rsidR="00A57F43" w:rsidRPr="00CA499E" w:rsidRDefault="00A57F43">
      <w:r w:rsidRPr="00CA49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14DD9" w14:textId="77777777" w:rsidR="00064002" w:rsidRPr="00CA49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E9EED" w14:textId="77777777" w:rsidR="00064002" w:rsidRPr="00CA49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1A6C0" w14:textId="77777777" w:rsidR="00064002" w:rsidRPr="00CA49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FEA27" w14:textId="77777777" w:rsidR="00A57F43" w:rsidRPr="00CA499E" w:rsidRDefault="00A57F43">
      <w:r w:rsidRPr="00CA499E">
        <w:separator/>
      </w:r>
    </w:p>
  </w:footnote>
  <w:footnote w:type="continuationSeparator" w:id="0">
    <w:p w14:paraId="73ECD564" w14:textId="77777777" w:rsidR="00A57F43" w:rsidRPr="00CA499E" w:rsidRDefault="00A57F43">
      <w:r w:rsidRPr="00CA499E">
        <w:continuationSeparator/>
      </w:r>
    </w:p>
  </w:footnote>
  <w:footnote w:id="1">
    <w:p w14:paraId="102557FF" w14:textId="77777777" w:rsidR="000C673C" w:rsidRPr="00CA499E" w:rsidRDefault="000C673C" w:rsidP="00CA499E">
      <w:pPr>
        <w:pStyle w:val="FootnoteText"/>
        <w:ind w:left="567" w:hanging="567"/>
        <w:rPr>
          <w:sz w:val="24"/>
          <w:lang w:val="it-IT"/>
        </w:rPr>
      </w:pPr>
      <w:r w:rsidRPr="00CA499E">
        <w:rPr>
          <w:rStyle w:val="FootnoteReference"/>
          <w:sz w:val="24"/>
          <w:lang w:val="it-IT"/>
        </w:rPr>
        <w:footnoteRef/>
      </w:r>
      <w:r w:rsidR="00CA499E" w:rsidRPr="00CA499E">
        <w:rPr>
          <w:sz w:val="24"/>
          <w:lang w:val="it-IT"/>
        </w:rPr>
        <w:t xml:space="preserve"> </w:t>
      </w:r>
      <w:r w:rsidR="00CA499E" w:rsidRPr="00CA499E">
        <w:rPr>
          <w:sz w:val="24"/>
          <w:lang w:val="it-IT"/>
        </w:rPr>
        <w:tab/>
      </w:r>
      <w:r w:rsidRPr="00CA499E">
        <w:rPr>
          <w:sz w:val="24"/>
          <w:lang w:val="it-IT"/>
        </w:rPr>
        <w:t xml:space="preserve">GU L 283 del 31.10.2017, pag. 1, ELI: </w:t>
      </w:r>
      <w:hyperlink r:id="rId1" w:tooltip="http://data.europa.eu/eli/reg/2017/1939/oj" w:history="1">
        <w:r w:rsidRPr="00CA499E">
          <w:rPr>
            <w:rStyle w:val="Hyperlink"/>
            <w:sz w:val="24"/>
            <w:lang w:val="it-IT"/>
          </w:rPr>
          <w:t>http://data.europa.eu/eli/reg/2017/1939/oj</w:t>
        </w:r>
      </w:hyperlink>
      <w:r w:rsidRPr="00CA499E">
        <w:rPr>
          <w:sz w:val="24"/>
          <w:lang w:val="it-IT"/>
        </w:rPr>
        <w:t>.</w:t>
      </w:r>
    </w:p>
  </w:footnote>
  <w:footnote w:id="2">
    <w:p w14:paraId="03AD9467" w14:textId="4FAAB595" w:rsidR="000C673C" w:rsidRPr="00CA499E" w:rsidRDefault="000C673C" w:rsidP="00CA499E">
      <w:pPr>
        <w:pStyle w:val="FootnoteText"/>
        <w:ind w:left="567" w:hanging="567"/>
        <w:rPr>
          <w:sz w:val="24"/>
          <w:lang w:val="it-IT"/>
        </w:rPr>
      </w:pPr>
      <w:r w:rsidRPr="00CA499E">
        <w:rPr>
          <w:rStyle w:val="FootnoteReference"/>
          <w:sz w:val="24"/>
          <w:lang w:val="it-IT"/>
        </w:rPr>
        <w:footnoteRef/>
      </w:r>
      <w:r w:rsidR="00CA499E" w:rsidRPr="00CA499E">
        <w:rPr>
          <w:sz w:val="24"/>
          <w:lang w:val="it-IT"/>
        </w:rPr>
        <w:t xml:space="preserve"> </w:t>
      </w:r>
      <w:r w:rsidR="00CA499E" w:rsidRPr="00CA499E">
        <w:rPr>
          <w:sz w:val="24"/>
          <w:lang w:val="it-IT"/>
        </w:rPr>
        <w:tab/>
      </w:r>
      <w:r w:rsidRPr="00CA499E">
        <w:rPr>
          <w:sz w:val="24"/>
          <w:lang w:val="it-IT"/>
        </w:rPr>
        <w:t xml:space="preserve">sentenza della Corte di giustizia del 21 ottobre 2008, </w:t>
      </w:r>
      <w:r w:rsidRPr="00CA499E">
        <w:rPr>
          <w:i/>
          <w:iCs/>
          <w:sz w:val="24"/>
          <w:lang w:val="it-IT"/>
        </w:rPr>
        <w:t>Marra/De Gregorio e Clemente</w:t>
      </w:r>
      <w:r w:rsidRPr="00CA499E">
        <w:rPr>
          <w:sz w:val="24"/>
          <w:lang w:val="it-IT"/>
        </w:rPr>
        <w:t xml:space="preserve">, C-200/07 e C-201/07, ECLI:EU:C:2008:579; sentenza del Tribunale del 19 marzo 2010, </w:t>
      </w:r>
      <w:proofErr w:type="spellStart"/>
      <w:r w:rsidRPr="00CA499E">
        <w:rPr>
          <w:i/>
          <w:iCs/>
          <w:sz w:val="24"/>
          <w:lang w:val="it-IT"/>
        </w:rPr>
        <w:t>Gollnisch</w:t>
      </w:r>
      <w:proofErr w:type="spellEnd"/>
      <w:r w:rsidRPr="00CA499E">
        <w:rPr>
          <w:i/>
          <w:iCs/>
          <w:sz w:val="24"/>
          <w:lang w:val="it-IT"/>
        </w:rPr>
        <w:t>/Parlamento</w:t>
      </w:r>
      <w:r w:rsidRPr="00CA499E">
        <w:rPr>
          <w:sz w:val="24"/>
          <w:lang w:val="it-IT"/>
        </w:rPr>
        <w:t xml:space="preserve">, T-42/06, ECLI:EU:T:2010:102; sentenza della Corte di giustizia del 6 settembre 2011, </w:t>
      </w:r>
      <w:r w:rsidRPr="00CA499E">
        <w:rPr>
          <w:i/>
          <w:iCs/>
          <w:sz w:val="24"/>
          <w:lang w:val="it-IT"/>
        </w:rPr>
        <w:t>Patriciello</w:t>
      </w:r>
      <w:r w:rsidRPr="00CA499E">
        <w:rPr>
          <w:sz w:val="24"/>
          <w:lang w:val="it-IT"/>
        </w:rPr>
        <w:t xml:space="preserve">, C-163/10, ECLI: EU:C:2011:543; sentenza del Tribunale del 17 gennaio 2013, </w:t>
      </w:r>
      <w:proofErr w:type="spellStart"/>
      <w:r w:rsidRPr="00CA499E">
        <w:rPr>
          <w:i/>
          <w:iCs/>
          <w:sz w:val="24"/>
          <w:lang w:val="it-IT"/>
        </w:rPr>
        <w:t>Gollnisch</w:t>
      </w:r>
      <w:proofErr w:type="spellEnd"/>
      <w:r w:rsidRPr="00CA499E">
        <w:rPr>
          <w:i/>
          <w:iCs/>
          <w:sz w:val="24"/>
          <w:lang w:val="it-IT"/>
        </w:rPr>
        <w:t>/Parlamento</w:t>
      </w:r>
      <w:r w:rsidRPr="00CA499E">
        <w:rPr>
          <w:sz w:val="24"/>
          <w:lang w:val="it-IT"/>
        </w:rPr>
        <w:t xml:space="preserve">, T-346/11 e T-347/11, ECLI:EU:T:2013:23; sentenza della Corte di giustizia del 19 dicembre 2019, </w:t>
      </w:r>
      <w:proofErr w:type="spellStart"/>
      <w:r w:rsidRPr="00CA499E">
        <w:rPr>
          <w:i/>
          <w:iCs/>
          <w:sz w:val="24"/>
          <w:lang w:val="it-IT"/>
        </w:rPr>
        <w:t>Junqueras</w:t>
      </w:r>
      <w:proofErr w:type="spellEnd"/>
      <w:r w:rsidRPr="00CA499E">
        <w:rPr>
          <w:i/>
          <w:iCs/>
          <w:sz w:val="24"/>
          <w:lang w:val="it-IT"/>
        </w:rPr>
        <w:t xml:space="preserve"> </w:t>
      </w:r>
      <w:proofErr w:type="spellStart"/>
      <w:r w:rsidRPr="00CA499E">
        <w:rPr>
          <w:i/>
          <w:iCs/>
          <w:sz w:val="24"/>
          <w:lang w:val="it-IT"/>
        </w:rPr>
        <w:t>Vies</w:t>
      </w:r>
      <w:proofErr w:type="spellEnd"/>
      <w:r w:rsidRPr="00CA499E">
        <w:rPr>
          <w:sz w:val="24"/>
          <w:lang w:val="it-IT"/>
        </w:rPr>
        <w:t>, C-502/19, ECLI:EU:C:2019:1115.</w:t>
      </w:r>
    </w:p>
  </w:footnote>
  <w:footnote w:id="3">
    <w:p w14:paraId="3522E0D3" w14:textId="77777777" w:rsidR="000C673C" w:rsidRPr="00CA499E" w:rsidRDefault="000C673C" w:rsidP="00CA499E">
      <w:pPr>
        <w:pStyle w:val="FootnoteText"/>
        <w:ind w:left="567" w:hanging="567"/>
        <w:rPr>
          <w:sz w:val="24"/>
          <w:lang w:val="it-IT"/>
        </w:rPr>
      </w:pPr>
      <w:r w:rsidRPr="00CA499E">
        <w:rPr>
          <w:rStyle w:val="FootnoteReference"/>
          <w:sz w:val="24"/>
          <w:lang w:val="it-IT"/>
        </w:rPr>
        <w:footnoteRef/>
      </w:r>
      <w:r w:rsidR="00CA499E" w:rsidRPr="00CA499E">
        <w:rPr>
          <w:sz w:val="24"/>
          <w:lang w:val="it-IT"/>
        </w:rPr>
        <w:t xml:space="preserve"> </w:t>
      </w:r>
      <w:r w:rsidR="00CA499E" w:rsidRPr="00CA499E">
        <w:rPr>
          <w:sz w:val="24"/>
          <w:lang w:val="it-IT"/>
        </w:rPr>
        <w:tab/>
      </w:r>
      <w:r w:rsidRPr="00CA499E">
        <w:rPr>
          <w:sz w:val="24"/>
          <w:lang w:val="it-IT"/>
        </w:rPr>
        <w:t xml:space="preserve">Sentenza del Tribunale del 30 aprile 2019, </w:t>
      </w:r>
      <w:proofErr w:type="spellStart"/>
      <w:r w:rsidRPr="00994DE8">
        <w:rPr>
          <w:i/>
          <w:iCs/>
          <w:sz w:val="24"/>
          <w:lang w:val="it-IT"/>
        </w:rPr>
        <w:t>Briois</w:t>
      </w:r>
      <w:proofErr w:type="spellEnd"/>
      <w:r w:rsidRPr="00994DE8">
        <w:rPr>
          <w:i/>
          <w:iCs/>
          <w:sz w:val="24"/>
          <w:lang w:val="it-IT"/>
        </w:rPr>
        <w:t>/Parlamento</w:t>
      </w:r>
      <w:r w:rsidRPr="00CA499E">
        <w:rPr>
          <w:sz w:val="24"/>
          <w:lang w:val="it-IT"/>
        </w:rPr>
        <w:t>, T-214/18, ECLI:</w:t>
      </w:r>
      <w:proofErr w:type="gramStart"/>
      <w:r w:rsidRPr="00CA499E">
        <w:rPr>
          <w:sz w:val="24"/>
          <w:lang w:val="it-IT"/>
        </w:rPr>
        <w:t>EU:T</w:t>
      </w:r>
      <w:proofErr w:type="gramEnd"/>
      <w:r w:rsidRPr="00CA499E">
        <w:rPr>
          <w:sz w:val="24"/>
          <w:lang w:val="it-I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9782D" w14:textId="77777777" w:rsidR="00064002" w:rsidRPr="00CA49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A1F40" w14:textId="77777777" w:rsidR="00064002" w:rsidRPr="00CA49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4CF83" w14:textId="77777777" w:rsidR="00064002" w:rsidRPr="00CA49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04509426">
    <w:abstractNumId w:val="9"/>
  </w:num>
  <w:num w:numId="2" w16cid:durableId="1405449527">
    <w:abstractNumId w:val="9"/>
  </w:num>
  <w:num w:numId="3" w16cid:durableId="336200509">
    <w:abstractNumId w:val="7"/>
  </w:num>
  <w:num w:numId="4" w16cid:durableId="2049867201">
    <w:abstractNumId w:val="7"/>
  </w:num>
  <w:num w:numId="5" w16cid:durableId="1490443542">
    <w:abstractNumId w:val="6"/>
  </w:num>
  <w:num w:numId="6" w16cid:durableId="139077524">
    <w:abstractNumId w:val="6"/>
  </w:num>
  <w:num w:numId="7" w16cid:durableId="1715881415">
    <w:abstractNumId w:val="5"/>
  </w:num>
  <w:num w:numId="8" w16cid:durableId="2094937241">
    <w:abstractNumId w:val="5"/>
  </w:num>
  <w:num w:numId="9" w16cid:durableId="730612584">
    <w:abstractNumId w:val="4"/>
  </w:num>
  <w:num w:numId="10" w16cid:durableId="283467093">
    <w:abstractNumId w:val="4"/>
  </w:num>
  <w:num w:numId="11" w16cid:durableId="194584369">
    <w:abstractNumId w:val="8"/>
  </w:num>
  <w:num w:numId="12" w16cid:durableId="1844053817">
    <w:abstractNumId w:val="8"/>
  </w:num>
  <w:num w:numId="13" w16cid:durableId="770668340">
    <w:abstractNumId w:val="3"/>
  </w:num>
  <w:num w:numId="14" w16cid:durableId="1532918769">
    <w:abstractNumId w:val="3"/>
  </w:num>
  <w:num w:numId="15" w16cid:durableId="1765764671">
    <w:abstractNumId w:val="2"/>
  </w:num>
  <w:num w:numId="16" w16cid:durableId="1142428782">
    <w:abstractNumId w:val="2"/>
  </w:num>
  <w:num w:numId="17" w16cid:durableId="1425568759">
    <w:abstractNumId w:val="1"/>
  </w:num>
  <w:num w:numId="18" w16cid:durableId="1905947102">
    <w:abstractNumId w:val="1"/>
  </w:num>
  <w:num w:numId="19" w16cid:durableId="582378641">
    <w:abstractNumId w:val="0"/>
  </w:num>
  <w:num w:numId="20" w16cid:durableId="1349599195">
    <w:abstractNumId w:val="0"/>
  </w:num>
  <w:num w:numId="21" w16cid:durableId="1002319757">
    <w:abstractNumId w:val="9"/>
  </w:num>
  <w:num w:numId="22" w16cid:durableId="1326667248">
    <w:abstractNumId w:val="7"/>
  </w:num>
  <w:num w:numId="23" w16cid:durableId="421872629">
    <w:abstractNumId w:val="6"/>
  </w:num>
  <w:num w:numId="24" w16cid:durableId="519198119">
    <w:abstractNumId w:val="5"/>
  </w:num>
  <w:num w:numId="25" w16cid:durableId="1828588291">
    <w:abstractNumId w:val="4"/>
  </w:num>
  <w:num w:numId="26" w16cid:durableId="1401559284">
    <w:abstractNumId w:val="8"/>
  </w:num>
  <w:num w:numId="27" w16cid:durableId="198445015">
    <w:abstractNumId w:val="3"/>
  </w:num>
  <w:num w:numId="28" w16cid:durableId="1331831850">
    <w:abstractNumId w:val="2"/>
  </w:num>
  <w:num w:numId="29" w16cid:durableId="2135100243">
    <w:abstractNumId w:val="1"/>
  </w:num>
  <w:num w:numId="30" w16cid:durableId="2041784357">
    <w:abstractNumId w:val="0"/>
  </w:num>
  <w:num w:numId="31" w16cid:durableId="1444301014">
    <w:abstractNumId w:val="9"/>
  </w:num>
  <w:num w:numId="32" w16cid:durableId="495338353">
    <w:abstractNumId w:val="7"/>
  </w:num>
  <w:num w:numId="33" w16cid:durableId="1514882446">
    <w:abstractNumId w:val="6"/>
  </w:num>
  <w:num w:numId="34" w16cid:durableId="1571112932">
    <w:abstractNumId w:val="5"/>
  </w:num>
  <w:num w:numId="35" w16cid:durableId="1548755562">
    <w:abstractNumId w:val="4"/>
  </w:num>
  <w:num w:numId="36" w16cid:durableId="1492406288">
    <w:abstractNumId w:val="8"/>
  </w:num>
  <w:num w:numId="37" w16cid:durableId="163934240">
    <w:abstractNumId w:val="3"/>
  </w:num>
  <w:num w:numId="38" w16cid:durableId="729039216">
    <w:abstractNumId w:val="2"/>
  </w:num>
  <w:num w:numId="39" w16cid:durableId="147214966">
    <w:abstractNumId w:val="1"/>
  </w:num>
  <w:num w:numId="40" w16cid:durableId="195890013">
    <w:abstractNumId w:val="0"/>
  </w:num>
  <w:num w:numId="41" w16cid:durableId="536040154">
    <w:abstractNumId w:val="10"/>
  </w:num>
  <w:num w:numId="42" w16cid:durableId="339938743">
    <w:abstractNumId w:val="10"/>
  </w:num>
  <w:num w:numId="43" w16cid:durableId="428434864">
    <w:abstractNumId w:val="10"/>
  </w:num>
  <w:num w:numId="44" w16cid:durableId="13475147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4/2026"/>
    <w:docVar w:name="dvlangue" w:val="IT"/>
    <w:docVar w:name="dvnumam" w:val="0"/>
    <w:docVar w:name="dvpe" w:val="789.052"/>
    <w:docVar w:name="dvrapporteur" w:val="Relatore: "/>
    <w:docVar w:name="dvtitre" w:val="Decisione del Parlamento europeo del 7 luglio 2026 sulla richiesta di revoca dell'immunità di Ilhan Kyuchyuk(2026/2000(IMM))"/>
  </w:docVars>
  <w:rsids>
    <w:rsidRoot w:val="00A57F43"/>
    <w:rsid w:val="00002272"/>
    <w:rsid w:val="00064002"/>
    <w:rsid w:val="000677B9"/>
    <w:rsid w:val="000824E9"/>
    <w:rsid w:val="000831BA"/>
    <w:rsid w:val="000A42CC"/>
    <w:rsid w:val="000C673C"/>
    <w:rsid w:val="000E7DD9"/>
    <w:rsid w:val="0010095E"/>
    <w:rsid w:val="00125B37"/>
    <w:rsid w:val="0014218C"/>
    <w:rsid w:val="00184B5A"/>
    <w:rsid w:val="00187494"/>
    <w:rsid w:val="001F32AE"/>
    <w:rsid w:val="002767FF"/>
    <w:rsid w:val="002A47AA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626A"/>
    <w:rsid w:val="005C2568"/>
    <w:rsid w:val="005F1B17"/>
    <w:rsid w:val="006037C0"/>
    <w:rsid w:val="006631B6"/>
    <w:rsid w:val="00680577"/>
    <w:rsid w:val="006F5F5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05EC"/>
    <w:rsid w:val="00817416"/>
    <w:rsid w:val="00842779"/>
    <w:rsid w:val="00865F67"/>
    <w:rsid w:val="00881A7B"/>
    <w:rsid w:val="008840E5"/>
    <w:rsid w:val="00887B3E"/>
    <w:rsid w:val="008A4805"/>
    <w:rsid w:val="008C2AC6"/>
    <w:rsid w:val="00930C23"/>
    <w:rsid w:val="0093193B"/>
    <w:rsid w:val="009509D8"/>
    <w:rsid w:val="00950B64"/>
    <w:rsid w:val="00981893"/>
    <w:rsid w:val="009861CD"/>
    <w:rsid w:val="00994DE8"/>
    <w:rsid w:val="00A1687D"/>
    <w:rsid w:val="00A43E52"/>
    <w:rsid w:val="00A4678D"/>
    <w:rsid w:val="00A57F43"/>
    <w:rsid w:val="00A710C4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499E"/>
    <w:rsid w:val="00CB19C0"/>
    <w:rsid w:val="00CC2357"/>
    <w:rsid w:val="00CF071A"/>
    <w:rsid w:val="00D058B8"/>
    <w:rsid w:val="00D12E9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D1815D"/>
  <w15:chartTrackingRefBased/>
  <w15:docId w15:val="{A5B17526-D741-43EF-9745-F161F377A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C673C"/>
    <w:pPr>
      <w:spacing w:after="240"/>
      <w:ind w:left="567" w:hanging="567"/>
    </w:pPr>
  </w:style>
  <w:style w:type="paragraph" w:customStyle="1" w:styleId="EPComma">
    <w:name w:val="EPComma"/>
    <w:basedOn w:val="Normal"/>
    <w:rsid w:val="000C673C"/>
    <w:pPr>
      <w:spacing w:before="480" w:after="240"/>
    </w:pPr>
  </w:style>
  <w:style w:type="character" w:styleId="Hyperlink">
    <w:name w:val="Hyperlink"/>
    <w:basedOn w:val="DefaultParagraphFont"/>
    <w:rsid w:val="000C673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824E9"/>
    <w:rPr>
      <w:sz w:val="24"/>
      <w:lang w:val="it-IT"/>
    </w:rPr>
  </w:style>
  <w:style w:type="character" w:styleId="CommentReference">
    <w:name w:val="annotation reference"/>
    <w:basedOn w:val="DefaultParagraphFont"/>
    <w:rsid w:val="000824E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824E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824E9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0824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824E9"/>
    <w:rPr>
      <w:b/>
      <w:bCs/>
      <w:lang w:val="it-IT"/>
    </w:rPr>
  </w:style>
  <w:style w:type="character" w:customStyle="1" w:styleId="italic">
    <w:name w:val="italic"/>
    <w:basedOn w:val="DefaultParagraphFont"/>
    <w:rsid w:val="00184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7/193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1113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Cecilia Lombardini</dc:creator>
  <cp:keywords/>
  <cp:lastModifiedBy>CL</cp:lastModifiedBy>
  <cp:revision>4</cp:revision>
  <cp:lastPrinted>2004-11-19T15:42:00Z</cp:lastPrinted>
  <dcterms:created xsi:type="dcterms:W3CDTF">2026-07-06T16:02:00Z</dcterms:created>
  <dcterms:modified xsi:type="dcterms:W3CDTF">2026-07-07T11:27:00Z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A10-0194/2026</vt:lpwstr>
  </property>
  <property fmtid="{D5CDD505-2E9C-101B-9397-08002B2CF9AE}" pid="4" name="&lt;Type&gt;">
    <vt:lpwstr>RR</vt:lpwstr>
  </property>
</Properties>
</file>