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3097" w14:paraId="4B6D3B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B335B9" w14:textId="4C420A77" w:rsidR="00751A4A" w:rsidRPr="00F83097" w:rsidRDefault="00DA4FA2" w:rsidP="0010095E">
            <w:pPr>
              <w:pStyle w:val="EPName"/>
            </w:pPr>
            <w:r w:rsidRPr="00F83097">
              <w:t>Европейски</w:t>
            </w:r>
            <w:r w:rsidR="000660CD" w:rsidRPr="00F83097">
              <w:t xml:space="preserve"> парламент</w:t>
            </w:r>
          </w:p>
          <w:p w14:paraId="2220C9C8" w14:textId="75254E37" w:rsidR="00751A4A" w:rsidRPr="00F830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097">
              <w:t>2024</w:t>
            </w:r>
            <w:r w:rsidR="00DA4FA2">
              <w:t> – </w:t>
            </w:r>
            <w:r w:rsidR="00817416" w:rsidRPr="00F83097">
              <w:t>202</w:t>
            </w:r>
            <w:r w:rsidRPr="00F83097">
              <w:t>9</w:t>
            </w:r>
          </w:p>
        </w:tc>
        <w:tc>
          <w:tcPr>
            <w:tcW w:w="2268" w:type="dxa"/>
            <w:shd w:val="clear" w:color="auto" w:fill="auto"/>
          </w:tcPr>
          <w:p w14:paraId="5EE9D3BF" w14:textId="77777777" w:rsidR="00751A4A" w:rsidRPr="00F83097" w:rsidRDefault="00187494" w:rsidP="0010095E">
            <w:pPr>
              <w:pStyle w:val="EPLogo"/>
            </w:pPr>
            <w:r w:rsidRPr="00F83097">
              <w:rPr>
                <w:noProof/>
                <w:lang w:eastAsia="ja-JP"/>
              </w:rPr>
              <w:drawing>
                <wp:inline distT="0" distB="0" distL="0" distR="0" wp14:anchorId="5DCAFF73" wp14:editId="4FB6D3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87D40E" w14:textId="77777777" w:rsidR="00D058B8" w:rsidRPr="00F83097" w:rsidRDefault="00D058B8" w:rsidP="004C5D52">
      <w:pPr>
        <w:pStyle w:val="LineTop"/>
      </w:pPr>
    </w:p>
    <w:p w14:paraId="4DDEFEF1" w14:textId="77777777" w:rsidR="00680577" w:rsidRPr="00F83097" w:rsidRDefault="000660CD" w:rsidP="00680577">
      <w:pPr>
        <w:pStyle w:val="EPBodyTA1"/>
      </w:pPr>
      <w:r w:rsidRPr="00F83097">
        <w:t>ПРИЕТИ ТЕКСТОВЕ</w:t>
      </w:r>
    </w:p>
    <w:p w14:paraId="7EE745EE" w14:textId="77777777" w:rsidR="00D058B8" w:rsidRPr="00F83097" w:rsidRDefault="00D058B8" w:rsidP="00D058B8">
      <w:pPr>
        <w:pStyle w:val="LineBottom"/>
      </w:pPr>
    </w:p>
    <w:p w14:paraId="0972A843" w14:textId="0266D0AD" w:rsidR="000660CD" w:rsidRPr="00F83097" w:rsidRDefault="000660CD" w:rsidP="000660CD">
      <w:pPr>
        <w:pStyle w:val="ATHeading1"/>
      </w:pPr>
      <w:bookmarkStart w:id="0" w:name="TANumber"/>
      <w:r w:rsidRPr="00F83097">
        <w:t>P10_TA(2026)0</w:t>
      </w:r>
      <w:r w:rsidR="006F3DC4">
        <w:t>238</w:t>
      </w:r>
      <w:bookmarkEnd w:id="0"/>
    </w:p>
    <w:p w14:paraId="0EADBBEE" w14:textId="77777777" w:rsidR="000660CD" w:rsidRPr="00F83097" w:rsidRDefault="000660CD" w:rsidP="000660CD">
      <w:pPr>
        <w:pStyle w:val="ATHeading2"/>
      </w:pPr>
      <w:bookmarkStart w:id="1" w:name="title"/>
      <w:r w:rsidRPr="00F83097">
        <w:t>Права на пътниците във въздушния транспорт</w:t>
      </w:r>
      <w:bookmarkEnd w:id="1"/>
    </w:p>
    <w:p w14:paraId="3A0F45AB" w14:textId="77777777" w:rsidR="000660CD" w:rsidRPr="00F83097" w:rsidRDefault="000660CD" w:rsidP="000660CD">
      <w:pPr>
        <w:rPr>
          <w:i/>
          <w:vanish/>
        </w:rPr>
      </w:pPr>
      <w:r w:rsidRPr="00F83097">
        <w:rPr>
          <w:i/>
        </w:rPr>
        <w:fldChar w:fldCharType="begin"/>
      </w:r>
      <w:r w:rsidRPr="00F83097">
        <w:rPr>
          <w:i/>
        </w:rPr>
        <w:instrText xml:space="preserve"> TC"(</w:instrText>
      </w:r>
      <w:bookmarkStart w:id="2" w:name="DocNumber"/>
      <w:r w:rsidRPr="00F83097">
        <w:rPr>
          <w:i/>
        </w:rPr>
        <w:instrText>A10-0191/2026</w:instrText>
      </w:r>
      <w:bookmarkEnd w:id="2"/>
      <w:r w:rsidRPr="00F83097">
        <w:rPr>
          <w:i/>
        </w:rPr>
        <w:instrText xml:space="preserve"> - Докладчик: Роберта Мецола)"\l3 \n&gt; \* MERGEFORMAT </w:instrText>
      </w:r>
      <w:r w:rsidRPr="00F83097">
        <w:rPr>
          <w:i/>
        </w:rPr>
        <w:fldChar w:fldCharType="end"/>
      </w:r>
    </w:p>
    <w:p w14:paraId="76F09167" w14:textId="77777777" w:rsidR="000660CD" w:rsidRPr="00F83097" w:rsidRDefault="000660CD" w:rsidP="000660CD">
      <w:pPr>
        <w:rPr>
          <w:vanish/>
        </w:rPr>
      </w:pPr>
      <w:bookmarkStart w:id="3" w:name="Commission"/>
      <w:r w:rsidRPr="00F83097">
        <w:rPr>
          <w:vanish/>
        </w:rPr>
        <w:t>Делегация на Европейския парламент в Помирителния комитет</w:t>
      </w:r>
      <w:bookmarkEnd w:id="3"/>
    </w:p>
    <w:p w14:paraId="060705EC" w14:textId="77777777" w:rsidR="000660CD" w:rsidRPr="00F83097" w:rsidRDefault="000660CD" w:rsidP="000660CD">
      <w:pPr>
        <w:rPr>
          <w:vanish/>
        </w:rPr>
      </w:pPr>
      <w:bookmarkStart w:id="4" w:name="PE"/>
      <w:r w:rsidRPr="00F83097">
        <w:rPr>
          <w:vanish/>
        </w:rPr>
        <w:t>PE790.161</w:t>
      </w:r>
      <w:bookmarkEnd w:id="4"/>
    </w:p>
    <w:p w14:paraId="567AD89E" w14:textId="7F3D73DD" w:rsidR="000660CD" w:rsidRPr="00F83097" w:rsidRDefault="000660CD" w:rsidP="000660CD">
      <w:pPr>
        <w:pStyle w:val="ATHeading3"/>
      </w:pPr>
      <w:bookmarkStart w:id="5" w:name="Sujet"/>
      <w:r w:rsidRPr="00F83097">
        <w:t xml:space="preserve">Законодателна резолюция на Европейския парламент от </w:t>
      </w:r>
      <w:r w:rsidR="008522B9">
        <w:t>7</w:t>
      </w:r>
      <w:r w:rsidR="00DA4FA2">
        <w:t xml:space="preserve"> юли</w:t>
      </w:r>
      <w:r w:rsidR="00DA4FA2" w:rsidRPr="00F83097">
        <w:t xml:space="preserve"> </w:t>
      </w:r>
      <w:r w:rsidRPr="00F83097">
        <w:t xml:space="preserve">2026 г. относно </w:t>
      </w:r>
      <w:r w:rsidR="000554A8">
        <w:t xml:space="preserve">одобрен от Помирителния комитет </w:t>
      </w:r>
      <w:r w:rsidRPr="00F83097">
        <w:t xml:space="preserve">общ проект </w:t>
      </w:r>
      <w:r w:rsidR="000554A8">
        <w:t>н</w:t>
      </w:r>
      <w:r w:rsidRPr="00F83097">
        <w:t>а регламент на Европейския парламент и на Съвета за изменение на Регламент (ЕО) № 261/2004 относно създаване на общи правила за обезщетяване и помощ на пътниците при отказан достъп на борда и отмяна или голямо закъснение на полети и на Регламент (ЕО) № 2027/97 относно отговорността на въздушните превозвачи при въздушния превоз на пътници и техния багаж</w:t>
      </w:r>
      <w:bookmarkEnd w:id="5"/>
      <w:r w:rsidRPr="00F83097">
        <w:t xml:space="preserve"> </w:t>
      </w:r>
      <w:bookmarkStart w:id="6" w:name="References"/>
      <w:r w:rsidRPr="00F83097">
        <w:t>(PE-CONS 00039/2026 – C10-0144/2026 – 2013/0072(COD))</w:t>
      </w:r>
      <w:bookmarkEnd w:id="6"/>
    </w:p>
    <w:p w14:paraId="56832E84" w14:textId="77777777" w:rsidR="00EF6092" w:rsidRPr="00F83097" w:rsidRDefault="00EF6092" w:rsidP="00EF6092">
      <w:pPr>
        <w:pStyle w:val="NormalBold"/>
      </w:pPr>
      <w:r w:rsidRPr="00F83097">
        <w:t>(Обикновена законодателна процедура: трето четене)</w:t>
      </w:r>
    </w:p>
    <w:p w14:paraId="019C5D31" w14:textId="77777777" w:rsidR="00EF6092" w:rsidRPr="00F83097" w:rsidRDefault="00EF6092" w:rsidP="00EF6092">
      <w:pPr>
        <w:pStyle w:val="EPComma"/>
      </w:pPr>
      <w:r w:rsidRPr="00F83097">
        <w:rPr>
          <w:i/>
          <w:iCs/>
        </w:rPr>
        <w:t>Европейският парламент,</w:t>
      </w:r>
    </w:p>
    <w:p w14:paraId="66AFCF1B" w14:textId="615A2C68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 xml:space="preserve">като взе предвид общия проект, одобрен от </w:t>
      </w:r>
      <w:r w:rsidR="000554A8">
        <w:t>П</w:t>
      </w:r>
      <w:r w:rsidRPr="00F83097">
        <w:t>омирителния комитет (PE-CONS 00039/2026 – C10</w:t>
      </w:r>
      <w:r w:rsidRPr="00F83097">
        <w:noBreakHyphen/>
        <w:t>0144/2026),</w:t>
      </w:r>
    </w:p>
    <w:p w14:paraId="01A92265" w14:textId="77777777" w:rsidR="00EF6092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становището на Европейския икономически и социален комитет от 11 юли 2013 г.</w:t>
      </w:r>
      <w:r w:rsidRPr="00F83097">
        <w:rPr>
          <w:rStyle w:val="FootnoteReference"/>
        </w:rPr>
        <w:footnoteReference w:id="1"/>
      </w:r>
      <w:r w:rsidRPr="00F83097">
        <w:t>,</w:t>
      </w:r>
    </w:p>
    <w:p w14:paraId="3A6CCDCC" w14:textId="26C9D96E" w:rsidR="008522B9" w:rsidRPr="00F83097" w:rsidRDefault="008522B9" w:rsidP="00EF6092">
      <w:pPr>
        <w:pStyle w:val="NormalHanging12a"/>
      </w:pPr>
      <w:r>
        <w:t>–</w:t>
      </w:r>
      <w:r>
        <w:tab/>
        <w:t>след консултация с Комитета на регионите,</w:t>
      </w:r>
    </w:p>
    <w:p w14:paraId="509924A1" w14:textId="44A27A3C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позицията си на първо четене</w:t>
      </w:r>
      <w:r w:rsidRPr="00F83097">
        <w:rPr>
          <w:rStyle w:val="FootnoteReference"/>
        </w:rPr>
        <w:footnoteReference w:id="2"/>
      </w:r>
      <w:r w:rsidRPr="00F83097">
        <w:t xml:space="preserve"> относно предложението на Комисията до </w:t>
      </w:r>
      <w:r w:rsidR="000554A8">
        <w:t>Европейския п</w:t>
      </w:r>
      <w:r w:rsidRPr="00F83097">
        <w:t xml:space="preserve">арламента и </w:t>
      </w:r>
      <w:r w:rsidR="000554A8">
        <w:t xml:space="preserve">до </w:t>
      </w:r>
      <w:r w:rsidRPr="00F83097">
        <w:t>Съвета (COM(2013)0130),</w:t>
      </w:r>
    </w:p>
    <w:p w14:paraId="1E1F0736" w14:textId="77777777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позицията си на второ четене</w:t>
      </w:r>
      <w:r w:rsidRPr="00F83097">
        <w:rPr>
          <w:rStyle w:val="FootnoteReference"/>
        </w:rPr>
        <w:footnoteReference w:id="3"/>
      </w:r>
      <w:r w:rsidRPr="00F83097">
        <w:t xml:space="preserve"> относно позицията на Съвета на първо четене</w:t>
      </w:r>
      <w:r w:rsidRPr="00F83097">
        <w:rPr>
          <w:rStyle w:val="FootnoteReference"/>
        </w:rPr>
        <w:footnoteReference w:id="4"/>
      </w:r>
      <w:r w:rsidRPr="00F83097">
        <w:t>,</w:t>
      </w:r>
    </w:p>
    <w:p w14:paraId="276475F0" w14:textId="77777777" w:rsidR="00EF6092" w:rsidRPr="00F83097" w:rsidRDefault="00EF6092" w:rsidP="00EF6092">
      <w:pPr>
        <w:pStyle w:val="NormalHanging12a"/>
      </w:pPr>
      <w:r w:rsidRPr="00F83097">
        <w:lastRenderedPageBreak/>
        <w:t>–</w:t>
      </w:r>
      <w:r w:rsidRPr="00F83097">
        <w:tab/>
        <w:t>като взе предвид становището на Комисията относно внесените от Парламента изменения в позицията на Съвета на първо четене (COM(2026)0129),</w:t>
      </w:r>
    </w:p>
    <w:p w14:paraId="540D516D" w14:textId="77777777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позицията на Съвета на второ четене,</w:t>
      </w:r>
    </w:p>
    <w:p w14:paraId="1DF9A940" w14:textId="77777777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член 294, параграф 13 от Договора за функционирането на Европейския съюз,</w:t>
      </w:r>
    </w:p>
    <w:p w14:paraId="0DDED03F" w14:textId="77777777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член 79 от своя Правилник за дейността,</w:t>
      </w:r>
    </w:p>
    <w:p w14:paraId="37E7CC1E" w14:textId="77777777" w:rsidR="00EF6092" w:rsidRPr="00F83097" w:rsidRDefault="00EF6092" w:rsidP="00EF6092">
      <w:pPr>
        <w:pStyle w:val="NormalHanging12a"/>
      </w:pPr>
      <w:r w:rsidRPr="00F83097">
        <w:t>–</w:t>
      </w:r>
      <w:r w:rsidRPr="00F83097">
        <w:tab/>
        <w:t>като взе предвид доклада на своята делегация в Помирителния комитет (A10-0191/2026),</w:t>
      </w:r>
    </w:p>
    <w:p w14:paraId="528E5C76" w14:textId="77777777" w:rsidR="00EF6092" w:rsidRPr="00F83097" w:rsidRDefault="00EF6092" w:rsidP="00EF6092">
      <w:pPr>
        <w:pStyle w:val="NormalHanging12a"/>
      </w:pPr>
      <w:r w:rsidRPr="00F83097">
        <w:t>1.</w:t>
      </w:r>
      <w:r w:rsidRPr="00F83097">
        <w:tab/>
        <w:t>одобрява общия проект;</w:t>
      </w:r>
    </w:p>
    <w:p w14:paraId="3A7DF23C" w14:textId="77777777" w:rsidR="00EF6092" w:rsidRPr="00F83097" w:rsidRDefault="00EF6092" w:rsidP="00EF6092">
      <w:pPr>
        <w:pStyle w:val="NormalHanging12a"/>
      </w:pPr>
      <w:r w:rsidRPr="00F83097">
        <w:t>2.</w:t>
      </w:r>
      <w:r w:rsidRPr="00F83097">
        <w:tab/>
        <w:t>възлага на своя председател да подпише акта заедно с председателя на Съвета в съответствие с член 297, параграф 1 от Договора за функционирането на Европейския съюз;</w:t>
      </w:r>
    </w:p>
    <w:p w14:paraId="0CC2B9B2" w14:textId="17C8D823" w:rsidR="00EF6092" w:rsidRPr="00F83097" w:rsidRDefault="00EF6092" w:rsidP="00EF6092">
      <w:pPr>
        <w:pStyle w:val="NormalHanging12a"/>
      </w:pPr>
      <w:r w:rsidRPr="00F83097">
        <w:t>3.</w:t>
      </w:r>
      <w:r w:rsidRPr="00F83097">
        <w:tab/>
        <w:t xml:space="preserve">възлага на своя генерален секретар да подпише акта след проверка </w:t>
      </w:r>
      <w:r w:rsidR="000554A8">
        <w:t>н</w:t>
      </w:r>
      <w:r w:rsidRPr="00F83097">
        <w:t xml:space="preserve">а надлежното изпълнение на всички процедури и </w:t>
      </w:r>
      <w:r w:rsidR="000554A8" w:rsidRPr="00F83097">
        <w:t xml:space="preserve">да пристъпи </w:t>
      </w:r>
      <w:r w:rsidR="000554A8">
        <w:t>заедно</w:t>
      </w:r>
      <w:r w:rsidR="000554A8" w:rsidRPr="00F83097">
        <w:t xml:space="preserve"> </w:t>
      </w:r>
      <w:r w:rsidRPr="00F83097">
        <w:t xml:space="preserve">с генералния секретар на Съвета към публикуването му в </w:t>
      </w:r>
      <w:r w:rsidRPr="00F83097">
        <w:rPr>
          <w:i/>
          <w:iCs/>
        </w:rPr>
        <w:t>Официален вестник на Европейския съюз</w:t>
      </w:r>
      <w:r w:rsidRPr="00F83097">
        <w:t>;</w:t>
      </w:r>
    </w:p>
    <w:p w14:paraId="255AA999" w14:textId="384172FB" w:rsidR="00F83097" w:rsidRPr="00F83097" w:rsidRDefault="00EF6092" w:rsidP="00F83097">
      <w:pPr>
        <w:pStyle w:val="NormalHanging12a"/>
      </w:pPr>
      <w:r w:rsidRPr="00F83097">
        <w:t>4.</w:t>
      </w:r>
      <w:r w:rsidRPr="00F83097">
        <w:tab/>
        <w:t>възлага на своя председател да предаде настоящата законодателна резолюция съответно на Съвета и на Комисията, както и на националните парламенти.</w:t>
      </w:r>
    </w:p>
    <w:p w14:paraId="5BA7BCB3" w14:textId="62749B52" w:rsidR="00E365E1" w:rsidRPr="00F83097" w:rsidRDefault="00E365E1" w:rsidP="000660CD"/>
    <w:sectPr w:rsidR="00E365E1" w:rsidRPr="00F83097" w:rsidSect="00F830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3265A" w14:textId="77777777" w:rsidR="000660CD" w:rsidRPr="00F83097" w:rsidRDefault="000660CD">
      <w:r w:rsidRPr="00F83097">
        <w:separator/>
      </w:r>
    </w:p>
  </w:endnote>
  <w:endnote w:type="continuationSeparator" w:id="0">
    <w:p w14:paraId="3D1DF460" w14:textId="77777777" w:rsidR="000660CD" w:rsidRPr="00F83097" w:rsidRDefault="000660CD">
      <w:r w:rsidRPr="00F830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58BD5" w14:textId="77777777" w:rsidR="00064002" w:rsidRPr="00F830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E6014" w14:textId="77777777" w:rsidR="00064002" w:rsidRPr="00F830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92C34" w14:textId="77777777" w:rsidR="00064002" w:rsidRPr="00F830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8943A" w14:textId="77777777" w:rsidR="000660CD" w:rsidRPr="00F83097" w:rsidRDefault="000660CD">
      <w:r w:rsidRPr="00F83097">
        <w:separator/>
      </w:r>
    </w:p>
  </w:footnote>
  <w:footnote w:type="continuationSeparator" w:id="0">
    <w:p w14:paraId="15F26A51" w14:textId="77777777" w:rsidR="000660CD" w:rsidRPr="00F83097" w:rsidRDefault="000660CD">
      <w:r w:rsidRPr="00F83097">
        <w:continuationSeparator/>
      </w:r>
    </w:p>
  </w:footnote>
  <w:footnote w:id="1">
    <w:p w14:paraId="1D02264B" w14:textId="42824FBF" w:rsidR="00EF6092" w:rsidRPr="00F83097" w:rsidRDefault="00EF6092" w:rsidP="00F83097">
      <w:pPr>
        <w:pStyle w:val="FootnoteText"/>
        <w:ind w:left="567" w:hanging="567"/>
        <w:rPr>
          <w:sz w:val="24"/>
          <w:lang w:val="bg-BG"/>
        </w:rPr>
      </w:pPr>
      <w:r w:rsidRPr="00F83097">
        <w:rPr>
          <w:rStyle w:val="FootnoteReference"/>
          <w:sz w:val="24"/>
          <w:lang w:val="bg-BG"/>
        </w:rPr>
        <w:footnoteRef/>
      </w:r>
      <w:r w:rsidR="00F83097" w:rsidRPr="00F83097">
        <w:rPr>
          <w:sz w:val="24"/>
          <w:lang w:val="bg-BG"/>
        </w:rPr>
        <w:t xml:space="preserve"> </w:t>
      </w:r>
      <w:r w:rsidR="00F83097" w:rsidRPr="00F83097">
        <w:rPr>
          <w:sz w:val="24"/>
          <w:lang w:val="bg-BG"/>
        </w:rPr>
        <w:tab/>
      </w:r>
      <w:r w:rsidRPr="00F83097">
        <w:rPr>
          <w:sz w:val="24"/>
          <w:lang w:val="bg-BG"/>
        </w:rPr>
        <w:t xml:space="preserve">OВ C 327, 12.11.2013 г., ELI: </w:t>
      </w:r>
      <w:hyperlink r:id="rId1" w:history="1">
        <w:r w:rsidRPr="00F83097">
          <w:rPr>
            <w:rStyle w:val="Hyperlink"/>
            <w:sz w:val="24"/>
            <w:lang w:val="bg-BG"/>
          </w:rPr>
          <w:t>https://eur-lex.europa.eu/legal-content/bg/TXT/?uri=celex:52013AE2576</w:t>
        </w:r>
      </w:hyperlink>
      <w:r w:rsidRPr="00F83097">
        <w:rPr>
          <w:sz w:val="24"/>
          <w:lang w:val="bg-BG"/>
        </w:rPr>
        <w:t>.</w:t>
      </w:r>
    </w:p>
  </w:footnote>
  <w:footnote w:id="2">
    <w:p w14:paraId="7683CCA8" w14:textId="7BD4205D" w:rsidR="00EF6092" w:rsidRPr="00F83097" w:rsidRDefault="00EF6092" w:rsidP="00F83097">
      <w:pPr>
        <w:pStyle w:val="FootnoteText"/>
        <w:ind w:left="567" w:hanging="567"/>
        <w:rPr>
          <w:sz w:val="24"/>
          <w:lang w:val="bg-BG"/>
        </w:rPr>
      </w:pPr>
      <w:r w:rsidRPr="00F83097">
        <w:rPr>
          <w:rStyle w:val="FootnoteReference"/>
          <w:sz w:val="24"/>
          <w:lang w:val="bg-BG"/>
        </w:rPr>
        <w:footnoteRef/>
      </w:r>
      <w:r w:rsidR="00F83097" w:rsidRPr="00F83097">
        <w:rPr>
          <w:sz w:val="24"/>
          <w:lang w:val="bg-BG"/>
        </w:rPr>
        <w:t xml:space="preserve"> </w:t>
      </w:r>
      <w:r w:rsidR="00F83097" w:rsidRPr="00F83097">
        <w:rPr>
          <w:sz w:val="24"/>
          <w:lang w:val="bg-BG"/>
        </w:rPr>
        <w:tab/>
      </w:r>
      <w:r w:rsidRPr="00F83097">
        <w:rPr>
          <w:sz w:val="24"/>
          <w:lang w:val="bg-BG"/>
        </w:rPr>
        <w:t xml:space="preserve">OВ C 93, 24.3.2017 г., ELI: </w:t>
      </w:r>
      <w:hyperlink r:id="rId2" w:history="1">
        <w:r w:rsidRPr="00F83097">
          <w:rPr>
            <w:rStyle w:val="Hyperlink"/>
            <w:sz w:val="24"/>
            <w:lang w:val="bg-BG"/>
          </w:rPr>
          <w:t>https://eur-lex.europa.eu/legal-content/BG/TXT/?uri=celex%3A52014AP0092</w:t>
        </w:r>
      </w:hyperlink>
      <w:r w:rsidRPr="00F83097">
        <w:rPr>
          <w:sz w:val="24"/>
          <w:lang w:val="bg-BG"/>
        </w:rPr>
        <w:t>/Приети текстове 5.2.2014 г., P7_TA(2014)0092.</w:t>
      </w:r>
    </w:p>
  </w:footnote>
  <w:footnote w:id="3">
    <w:p w14:paraId="394F38D3" w14:textId="2829F417" w:rsidR="00EF6092" w:rsidRPr="00F83097" w:rsidRDefault="00EF6092" w:rsidP="00F83097">
      <w:pPr>
        <w:pStyle w:val="FootnoteText"/>
        <w:ind w:left="567" w:hanging="567"/>
        <w:rPr>
          <w:sz w:val="24"/>
          <w:lang w:val="bg-BG"/>
        </w:rPr>
      </w:pPr>
      <w:r w:rsidRPr="00F83097">
        <w:rPr>
          <w:rStyle w:val="FootnoteReference"/>
          <w:sz w:val="24"/>
          <w:lang w:val="bg-BG"/>
        </w:rPr>
        <w:footnoteRef/>
      </w:r>
      <w:r w:rsidR="00F83097" w:rsidRPr="00F83097">
        <w:rPr>
          <w:sz w:val="24"/>
          <w:lang w:val="bg-BG"/>
        </w:rPr>
        <w:t xml:space="preserve"> </w:t>
      </w:r>
      <w:r w:rsidR="00F83097" w:rsidRPr="00F83097">
        <w:rPr>
          <w:sz w:val="24"/>
          <w:lang w:val="bg-BG"/>
        </w:rPr>
        <w:tab/>
      </w:r>
      <w:r w:rsidRPr="00F83097">
        <w:rPr>
          <w:sz w:val="24"/>
          <w:lang w:val="bg-BG"/>
        </w:rPr>
        <w:t>Приети текстове 21.1.2026, г. P10_TA(2026)0009.</w:t>
      </w:r>
    </w:p>
  </w:footnote>
  <w:footnote w:id="4">
    <w:p w14:paraId="2F43D0CB" w14:textId="0F1876A2" w:rsidR="00EF6092" w:rsidRPr="00F83097" w:rsidRDefault="00EF6092" w:rsidP="00F83097">
      <w:pPr>
        <w:pStyle w:val="FootnoteText"/>
        <w:ind w:left="567" w:hanging="567"/>
        <w:rPr>
          <w:sz w:val="24"/>
          <w:lang w:val="bg-BG"/>
        </w:rPr>
      </w:pPr>
      <w:r w:rsidRPr="00F83097">
        <w:rPr>
          <w:rStyle w:val="FootnoteReference"/>
          <w:sz w:val="24"/>
          <w:lang w:val="bg-BG"/>
        </w:rPr>
        <w:footnoteRef/>
      </w:r>
      <w:r w:rsidR="00F83097" w:rsidRPr="00F83097">
        <w:rPr>
          <w:sz w:val="24"/>
          <w:lang w:val="bg-BG"/>
        </w:rPr>
        <w:t xml:space="preserve"> </w:t>
      </w:r>
      <w:r w:rsidR="00F83097" w:rsidRPr="00F83097">
        <w:rPr>
          <w:sz w:val="24"/>
          <w:lang w:val="bg-BG"/>
        </w:rPr>
        <w:tab/>
      </w:r>
      <w:r w:rsidRPr="00F83097">
        <w:rPr>
          <w:sz w:val="24"/>
          <w:lang w:val="bg-BG"/>
        </w:rPr>
        <w:t xml:space="preserve">OВ C, C/2025/5782, 30.10.2025 г., ELI: </w:t>
      </w:r>
      <w:hyperlink r:id="rId3" w:tooltip="Дава достъп до този документ чрез неговия URI на ELI." w:history="1">
        <w:r w:rsidR="00DA4FA2" w:rsidRPr="00DA4FA2">
          <w:rPr>
            <w:rStyle w:val="Hyperlink"/>
            <w:sz w:val="24"/>
            <w:lang w:val="bg-BG"/>
          </w:rPr>
          <w:t>http://data.europa.eu/eli/C/2025/5782/oj</w:t>
        </w:r>
      </w:hyperlink>
      <w:r w:rsidRPr="00F83097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E599" w14:textId="77777777" w:rsidR="00064002" w:rsidRPr="00F830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0955" w14:textId="77777777" w:rsidR="00064002" w:rsidRPr="00F830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D43B" w14:textId="77777777" w:rsidR="00064002" w:rsidRPr="00F830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22459477">
    <w:abstractNumId w:val="9"/>
  </w:num>
  <w:num w:numId="2" w16cid:durableId="203562165">
    <w:abstractNumId w:val="9"/>
  </w:num>
  <w:num w:numId="3" w16cid:durableId="1871524683">
    <w:abstractNumId w:val="7"/>
  </w:num>
  <w:num w:numId="4" w16cid:durableId="553925512">
    <w:abstractNumId w:val="7"/>
  </w:num>
  <w:num w:numId="5" w16cid:durableId="1711805197">
    <w:abstractNumId w:val="6"/>
  </w:num>
  <w:num w:numId="6" w16cid:durableId="474681221">
    <w:abstractNumId w:val="6"/>
  </w:num>
  <w:num w:numId="7" w16cid:durableId="1466122748">
    <w:abstractNumId w:val="5"/>
  </w:num>
  <w:num w:numId="8" w16cid:durableId="1713114055">
    <w:abstractNumId w:val="5"/>
  </w:num>
  <w:num w:numId="9" w16cid:durableId="399599950">
    <w:abstractNumId w:val="4"/>
  </w:num>
  <w:num w:numId="10" w16cid:durableId="1517189387">
    <w:abstractNumId w:val="4"/>
  </w:num>
  <w:num w:numId="11" w16cid:durableId="1666473050">
    <w:abstractNumId w:val="8"/>
  </w:num>
  <w:num w:numId="12" w16cid:durableId="183329824">
    <w:abstractNumId w:val="8"/>
  </w:num>
  <w:num w:numId="13" w16cid:durableId="485169531">
    <w:abstractNumId w:val="3"/>
  </w:num>
  <w:num w:numId="14" w16cid:durableId="579103639">
    <w:abstractNumId w:val="3"/>
  </w:num>
  <w:num w:numId="15" w16cid:durableId="1396322101">
    <w:abstractNumId w:val="2"/>
  </w:num>
  <w:num w:numId="16" w16cid:durableId="1656184292">
    <w:abstractNumId w:val="2"/>
  </w:num>
  <w:num w:numId="17" w16cid:durableId="2074696311">
    <w:abstractNumId w:val="1"/>
  </w:num>
  <w:num w:numId="18" w16cid:durableId="974529494">
    <w:abstractNumId w:val="1"/>
  </w:num>
  <w:num w:numId="19" w16cid:durableId="762531806">
    <w:abstractNumId w:val="0"/>
  </w:num>
  <w:num w:numId="20" w16cid:durableId="1440250914">
    <w:abstractNumId w:val="0"/>
  </w:num>
  <w:num w:numId="21" w16cid:durableId="1637834985">
    <w:abstractNumId w:val="9"/>
  </w:num>
  <w:num w:numId="22" w16cid:durableId="461311494">
    <w:abstractNumId w:val="7"/>
  </w:num>
  <w:num w:numId="23" w16cid:durableId="79183163">
    <w:abstractNumId w:val="6"/>
  </w:num>
  <w:num w:numId="24" w16cid:durableId="1863589191">
    <w:abstractNumId w:val="5"/>
  </w:num>
  <w:num w:numId="25" w16cid:durableId="1936478809">
    <w:abstractNumId w:val="4"/>
  </w:num>
  <w:num w:numId="26" w16cid:durableId="1573928377">
    <w:abstractNumId w:val="8"/>
  </w:num>
  <w:num w:numId="27" w16cid:durableId="18701117">
    <w:abstractNumId w:val="3"/>
  </w:num>
  <w:num w:numId="28" w16cid:durableId="1262682881">
    <w:abstractNumId w:val="2"/>
  </w:num>
  <w:num w:numId="29" w16cid:durableId="2043939402">
    <w:abstractNumId w:val="1"/>
  </w:num>
  <w:num w:numId="30" w16cid:durableId="380834736">
    <w:abstractNumId w:val="0"/>
  </w:num>
  <w:num w:numId="31" w16cid:durableId="32656091">
    <w:abstractNumId w:val="9"/>
  </w:num>
  <w:num w:numId="32" w16cid:durableId="730345087">
    <w:abstractNumId w:val="7"/>
  </w:num>
  <w:num w:numId="33" w16cid:durableId="58602006">
    <w:abstractNumId w:val="6"/>
  </w:num>
  <w:num w:numId="34" w16cid:durableId="397558030">
    <w:abstractNumId w:val="5"/>
  </w:num>
  <w:num w:numId="35" w16cid:durableId="545144570">
    <w:abstractNumId w:val="4"/>
  </w:num>
  <w:num w:numId="36" w16cid:durableId="1031682473">
    <w:abstractNumId w:val="8"/>
  </w:num>
  <w:num w:numId="37" w16cid:durableId="721557714">
    <w:abstractNumId w:val="3"/>
  </w:num>
  <w:num w:numId="38" w16cid:durableId="210387372">
    <w:abstractNumId w:val="2"/>
  </w:num>
  <w:num w:numId="39" w16cid:durableId="2106611747">
    <w:abstractNumId w:val="1"/>
  </w:num>
  <w:num w:numId="40" w16cid:durableId="1352993413">
    <w:abstractNumId w:val="0"/>
  </w:num>
  <w:num w:numId="41" w16cid:durableId="1513758051">
    <w:abstractNumId w:val="10"/>
  </w:num>
  <w:num w:numId="42" w16cid:durableId="787508090">
    <w:abstractNumId w:val="10"/>
  </w:num>
  <w:num w:numId="43" w16cid:durableId="1936091163">
    <w:abstractNumId w:val="10"/>
  </w:num>
  <w:num w:numId="44" w16cid:durableId="1827236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BG"/>
    <w:docVar w:name="dvnumam" w:val="0"/>
    <w:docVar w:name="dvpe" w:val="790.161"/>
    <w:docVar w:name="dvrapporteur" w:val="Докладчик: "/>
    <w:docVar w:name="dvstar" w:val="***III"/>
    <w:docVar w:name="dvtitre" w:val="Законодателна резолюция на Европейския парламент от ... 2026 г. относно общия проект, одобрен от помирителния комитет за регламент на Европейския парламент и на Съвета за изменение на Регламент (ЕО) № 261/2004 относно създаване на общи правила за обезщетяване и помощ на пътниците при отказан достъп на борда и отмяна или голямо закъснение на полети и на Регламент (ЕО) № 2027/97 относно отговорността на въздушните превозвачи при въздушния превоз на пътници и техния багаж(PE-CONS 00039/2026 – C10-0144/2026 – 2013/0072(COD))"/>
  </w:docVars>
  <w:rsids>
    <w:rsidRoot w:val="000660CD"/>
    <w:rsid w:val="00002272"/>
    <w:rsid w:val="000554A8"/>
    <w:rsid w:val="00064002"/>
    <w:rsid w:val="000660CD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B5E"/>
    <w:rsid w:val="00560270"/>
    <w:rsid w:val="005C2568"/>
    <w:rsid w:val="005F1B17"/>
    <w:rsid w:val="006037C0"/>
    <w:rsid w:val="00646895"/>
    <w:rsid w:val="006631B6"/>
    <w:rsid w:val="00680577"/>
    <w:rsid w:val="006F3D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2B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5A6"/>
    <w:rsid w:val="00A1687D"/>
    <w:rsid w:val="00A43E52"/>
    <w:rsid w:val="00A4678D"/>
    <w:rsid w:val="00A778C7"/>
    <w:rsid w:val="00AB441E"/>
    <w:rsid w:val="00AB6293"/>
    <w:rsid w:val="00AD29D8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57D64"/>
    <w:rsid w:val="00D834A0"/>
    <w:rsid w:val="00D872DF"/>
    <w:rsid w:val="00D91E21"/>
    <w:rsid w:val="00DA4FA2"/>
    <w:rsid w:val="00DA7FCD"/>
    <w:rsid w:val="00E365E1"/>
    <w:rsid w:val="00E820A4"/>
    <w:rsid w:val="00EB006A"/>
    <w:rsid w:val="00EB4772"/>
    <w:rsid w:val="00ED169E"/>
    <w:rsid w:val="00ED4235"/>
    <w:rsid w:val="00EF6092"/>
    <w:rsid w:val="00F04346"/>
    <w:rsid w:val="00F075DC"/>
    <w:rsid w:val="00F149E9"/>
    <w:rsid w:val="00F5134D"/>
    <w:rsid w:val="00F74202"/>
    <w:rsid w:val="00F8309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2AD2B"/>
  <w15:chartTrackingRefBased/>
  <w15:docId w15:val="{5A71A537-1559-40FD-A0D8-0A0DFB29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F6092"/>
    <w:pPr>
      <w:spacing w:before="480" w:after="240"/>
    </w:pPr>
  </w:style>
  <w:style w:type="paragraph" w:customStyle="1" w:styleId="NormalBold">
    <w:name w:val="NormalBold"/>
    <w:basedOn w:val="Normal"/>
    <w:rsid w:val="00EF6092"/>
    <w:rPr>
      <w:b/>
    </w:rPr>
  </w:style>
  <w:style w:type="paragraph" w:customStyle="1" w:styleId="NormalHanging12a">
    <w:name w:val="NormalHanging12a"/>
    <w:basedOn w:val="Normal"/>
    <w:rsid w:val="00EF6092"/>
    <w:pPr>
      <w:spacing w:after="240"/>
      <w:ind w:left="567" w:hanging="567"/>
    </w:pPr>
  </w:style>
  <w:style w:type="character" w:styleId="Hyperlink">
    <w:name w:val="Hyperlink"/>
    <w:basedOn w:val="DefaultParagraphFont"/>
    <w:rsid w:val="00EF609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A4FA2"/>
    <w:rPr>
      <w:sz w:val="24"/>
      <w:lang w:val="bg-BG"/>
    </w:rPr>
  </w:style>
  <w:style w:type="character" w:styleId="FollowedHyperlink">
    <w:name w:val="FollowedHyperlink"/>
    <w:basedOn w:val="DefaultParagraphFont"/>
    <w:rsid w:val="00DA4FA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4FA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0554A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54A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54A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0554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554A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782/oj" TargetMode="External"/><Relationship Id="rId2" Type="http://schemas.openxmlformats.org/officeDocument/2006/relationships/hyperlink" Target="https://eur-lex.europa.eu/legal-content/BG/TXT/?uri=celex%3A52014AP0092" TargetMode="External"/><Relationship Id="rId1" Type="http://schemas.openxmlformats.org/officeDocument/2006/relationships/hyperlink" Target="https://eur-lex.europa.eu/legal-content/bg/TXT/?uri=celex: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317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Kiril GIRGINOV</cp:lastModifiedBy>
  <cp:revision>2</cp:revision>
  <cp:lastPrinted>2004-11-19T15:42:00Z</cp:lastPrinted>
  <dcterms:created xsi:type="dcterms:W3CDTF">2026-07-07T11:19:00Z</dcterms:created>
  <dcterms:modified xsi:type="dcterms:W3CDTF">2026-07-07T11:19:00Z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