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284" w14:paraId="6CF0A8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52A30F" w14:textId="29221C3F" w:rsidR="00751A4A" w:rsidRPr="003A1284" w:rsidRDefault="00C37AF0" w:rsidP="0010095E">
            <w:pPr>
              <w:pStyle w:val="EPName"/>
            </w:pPr>
            <w:r w:rsidRPr="003A1284">
              <w:t>Evropský parlament</w:t>
            </w:r>
          </w:p>
          <w:p w14:paraId="3C466678" w14:textId="77777777" w:rsidR="00751A4A" w:rsidRPr="003A12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1284">
              <w:t>2024</w:t>
            </w:r>
            <w:r w:rsidR="00817416" w:rsidRPr="003A1284">
              <w:t>-202</w:t>
            </w:r>
            <w:r w:rsidRPr="003A1284">
              <w:t>9</w:t>
            </w:r>
          </w:p>
        </w:tc>
        <w:tc>
          <w:tcPr>
            <w:tcW w:w="2268" w:type="dxa"/>
            <w:shd w:val="clear" w:color="auto" w:fill="auto"/>
          </w:tcPr>
          <w:p w14:paraId="73D5D245" w14:textId="77777777" w:rsidR="00751A4A" w:rsidRPr="003A1284" w:rsidRDefault="00187494" w:rsidP="0010095E">
            <w:pPr>
              <w:pStyle w:val="EPLogo"/>
            </w:pPr>
            <w:r w:rsidRPr="003A1284">
              <w:rPr>
                <w:noProof/>
                <w:lang w:eastAsia="ja-JP"/>
              </w:rPr>
              <w:drawing>
                <wp:inline distT="0" distB="0" distL="0" distR="0" wp14:anchorId="05B453D7" wp14:editId="720117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815923" w14:textId="77777777" w:rsidR="00D058B8" w:rsidRPr="003A1284" w:rsidRDefault="00D058B8" w:rsidP="004C5D52">
      <w:pPr>
        <w:pStyle w:val="LineTop"/>
      </w:pPr>
    </w:p>
    <w:p w14:paraId="68458647" w14:textId="1D7868DA" w:rsidR="00680577" w:rsidRPr="003A1284" w:rsidRDefault="00C37AF0" w:rsidP="00680577">
      <w:pPr>
        <w:pStyle w:val="EPBodyTA1"/>
      </w:pPr>
      <w:r w:rsidRPr="003A1284">
        <w:t>PŘIJATÉ TEXTY</w:t>
      </w:r>
    </w:p>
    <w:p w14:paraId="4E3D4794" w14:textId="77777777" w:rsidR="00D058B8" w:rsidRPr="003A1284" w:rsidRDefault="00D058B8" w:rsidP="00D058B8">
      <w:pPr>
        <w:pStyle w:val="LineBottom"/>
      </w:pPr>
    </w:p>
    <w:p w14:paraId="60243546" w14:textId="0EDC9FFF" w:rsidR="00C37AF0" w:rsidRPr="00DB176F" w:rsidRDefault="00C37AF0" w:rsidP="00C37AF0">
      <w:pPr>
        <w:pStyle w:val="ATHeading1"/>
      </w:pPr>
      <w:bookmarkStart w:id="0" w:name="TANumber"/>
      <w:r w:rsidRPr="00DB176F">
        <w:t>P10_TA(2026)0</w:t>
      </w:r>
      <w:r w:rsidR="0052334E">
        <w:t>238</w:t>
      </w:r>
      <w:bookmarkEnd w:id="0"/>
    </w:p>
    <w:p w14:paraId="47C76C85" w14:textId="77777777" w:rsidR="00C37AF0" w:rsidRPr="00DB176F" w:rsidRDefault="00C37AF0" w:rsidP="00C37AF0">
      <w:pPr>
        <w:pStyle w:val="ATHeading2"/>
      </w:pPr>
      <w:bookmarkStart w:id="1" w:name="title"/>
      <w:r w:rsidRPr="00DB176F">
        <w:t>Práva cestujících v letecké dopravě</w:t>
      </w:r>
      <w:bookmarkEnd w:id="1"/>
    </w:p>
    <w:p w14:paraId="5E26CC46" w14:textId="77777777" w:rsidR="00C37AF0" w:rsidRPr="003A1284" w:rsidRDefault="00C37AF0" w:rsidP="00C37AF0">
      <w:pPr>
        <w:rPr>
          <w:i/>
          <w:vanish/>
        </w:rPr>
      </w:pPr>
      <w:r w:rsidRPr="003A1284">
        <w:rPr>
          <w:i/>
        </w:rPr>
        <w:fldChar w:fldCharType="begin"/>
      </w:r>
      <w:r w:rsidRPr="003A1284">
        <w:rPr>
          <w:i/>
        </w:rPr>
        <w:instrText xml:space="preserve"> TC"(</w:instrText>
      </w:r>
      <w:bookmarkStart w:id="2" w:name="DocNumber"/>
      <w:r w:rsidRPr="003A1284">
        <w:rPr>
          <w:i/>
        </w:rPr>
        <w:instrText>A10-0191/2026</w:instrText>
      </w:r>
      <w:bookmarkEnd w:id="2"/>
      <w:r w:rsidRPr="003A1284">
        <w:rPr>
          <w:i/>
        </w:rPr>
        <w:instrText xml:space="preserve"> - Zpravodaj: Roberta Metsola)"\l3 \n&gt; \* MERGEFORMAT </w:instrText>
      </w:r>
      <w:r w:rsidRPr="003A1284">
        <w:rPr>
          <w:i/>
        </w:rPr>
        <w:fldChar w:fldCharType="end"/>
      </w:r>
    </w:p>
    <w:p w14:paraId="6270AC5B" w14:textId="77777777" w:rsidR="00C37AF0" w:rsidRPr="003A1284" w:rsidRDefault="00C37AF0" w:rsidP="00C37AF0">
      <w:pPr>
        <w:rPr>
          <w:vanish/>
        </w:rPr>
      </w:pPr>
      <w:bookmarkStart w:id="3" w:name="Commission"/>
      <w:r w:rsidRPr="003A1284">
        <w:rPr>
          <w:vanish/>
        </w:rPr>
        <w:t>Delegace Evropského parlamentu v dohodovacím výboru</w:t>
      </w:r>
      <w:bookmarkEnd w:id="3"/>
    </w:p>
    <w:p w14:paraId="2EEE7CE9" w14:textId="77777777" w:rsidR="00C37AF0" w:rsidRPr="003A1284" w:rsidRDefault="00C37AF0" w:rsidP="00C37AF0">
      <w:pPr>
        <w:rPr>
          <w:vanish/>
        </w:rPr>
      </w:pPr>
      <w:bookmarkStart w:id="4" w:name="PE"/>
      <w:r w:rsidRPr="003A1284">
        <w:rPr>
          <w:vanish/>
        </w:rPr>
        <w:t>PE790.161</w:t>
      </w:r>
      <w:bookmarkEnd w:id="4"/>
    </w:p>
    <w:p w14:paraId="09023469" w14:textId="77777777" w:rsidR="00C37AF0" w:rsidRPr="00DB176F" w:rsidRDefault="00C37AF0" w:rsidP="00C37AF0">
      <w:pPr>
        <w:pStyle w:val="ATHeading3"/>
      </w:pPr>
      <w:bookmarkStart w:id="5" w:name="Sujet"/>
      <w:r w:rsidRPr="00DB176F">
        <w:t>Legislativní usnesení Evropského parlamentu ze dne 7. července 2026 o společném návrhu nařízení Evropského parlamentu a Rady o změně nařízení (ES) č. 261/2004, kterým se stanoví společná pravidla náhrad a pomoci cestujícím v letecké dopravě v případě odepření nástupu na palubu, zrušení nebo významného zpoždění letů, a nařízení (ES) č. 2027/97 o odpovědnosti leteckého dopravce při letecké dopravě cestujících a jejich zavazadel, schváleném dohodovacím výborem</w:t>
      </w:r>
      <w:bookmarkEnd w:id="5"/>
      <w:r w:rsidRPr="00DB176F">
        <w:t xml:space="preserve"> </w:t>
      </w:r>
      <w:bookmarkStart w:id="6" w:name="References"/>
      <w:r w:rsidRPr="00DB176F">
        <w:t>(PE-CONS 00039/2026 – C10-0144/2026 – 2013/0072(COD))</w:t>
      </w:r>
      <w:bookmarkEnd w:id="6"/>
    </w:p>
    <w:p w14:paraId="3546E105" w14:textId="77777777" w:rsidR="00F8580D" w:rsidRPr="003A1284" w:rsidRDefault="00F8580D" w:rsidP="00F8580D">
      <w:pPr>
        <w:pStyle w:val="NormalBold"/>
      </w:pPr>
      <w:r w:rsidRPr="003A1284">
        <w:t>(Řádný legislativní postup: třetí čtení)</w:t>
      </w:r>
    </w:p>
    <w:p w14:paraId="7B335395" w14:textId="77777777" w:rsidR="00F8580D" w:rsidRPr="003A1284" w:rsidRDefault="00F8580D" w:rsidP="00F8580D">
      <w:pPr>
        <w:pStyle w:val="EPComma"/>
      </w:pPr>
      <w:r w:rsidRPr="003A1284">
        <w:rPr>
          <w:i/>
          <w:iCs/>
        </w:rPr>
        <w:t>Evropský parlament</w:t>
      </w:r>
      <w:r w:rsidRPr="003A1284">
        <w:t>,</w:t>
      </w:r>
    </w:p>
    <w:p w14:paraId="7B1A6201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>s ohledem na společný návrh schválený dohodovacím výborem (PE-CONS 00039/2026 – C10</w:t>
      </w:r>
      <w:r w:rsidRPr="003A1284">
        <w:noBreakHyphen/>
        <w:t>0144/2026),</w:t>
      </w:r>
    </w:p>
    <w:p w14:paraId="3E2EA957" w14:textId="462D88B2" w:rsidR="00F8580D" w:rsidRDefault="00F8580D" w:rsidP="00F8580D">
      <w:pPr>
        <w:pStyle w:val="NormalHanging12a"/>
      </w:pPr>
      <w:r w:rsidRPr="003A1284">
        <w:t>–</w:t>
      </w:r>
      <w:r w:rsidRPr="003A1284">
        <w:tab/>
        <w:t>s ohledem na stanovisko Evropského hospodářského a sociálního výboru ze dne 11.</w:t>
      </w:r>
      <w:r w:rsidR="006C1F6A" w:rsidRPr="003A1284">
        <w:t> </w:t>
      </w:r>
      <w:r w:rsidRPr="003A1284">
        <w:t>července 2013</w:t>
      </w:r>
      <w:r w:rsidRPr="003A1284">
        <w:rPr>
          <w:rStyle w:val="FootnoteReference"/>
        </w:rPr>
        <w:footnoteReference w:id="1"/>
      </w:r>
      <w:r w:rsidRPr="003A1284">
        <w:t>,</w:t>
      </w:r>
    </w:p>
    <w:p w14:paraId="17E37E41" w14:textId="476EBB76" w:rsidR="00C41654" w:rsidRPr="003A1284" w:rsidRDefault="00C41654" w:rsidP="00DB176F">
      <w:pPr>
        <w:pStyle w:val="NormalHanging12a"/>
        <w:numPr>
          <w:ilvl w:val="0"/>
          <w:numId w:val="45"/>
        </w:numPr>
        <w:ind w:left="567" w:hanging="567"/>
      </w:pPr>
      <w:r w:rsidRPr="00C41654">
        <w:t>po konzultaci s Výborem regionů</w:t>
      </w:r>
      <w:r>
        <w:t>,</w:t>
      </w:r>
    </w:p>
    <w:p w14:paraId="1F233484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>s ohledem na svůj postoj v prvním čtení</w:t>
      </w:r>
      <w:r w:rsidRPr="003A1284">
        <w:rPr>
          <w:rStyle w:val="FootnoteReference"/>
        </w:rPr>
        <w:footnoteReference w:id="2"/>
      </w:r>
      <w:r w:rsidRPr="003A1284">
        <w:t xml:space="preserve"> k návrhu Komise předloženému Parlamentu a Radě (COM(2013)0130),</w:t>
      </w:r>
    </w:p>
    <w:p w14:paraId="24A2717D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>s ohledem na svůj postoj ve druhém čtení</w:t>
      </w:r>
      <w:r w:rsidRPr="003A1284">
        <w:rPr>
          <w:rStyle w:val="FootnoteReference"/>
        </w:rPr>
        <w:footnoteReference w:id="3"/>
      </w:r>
      <w:r w:rsidRPr="003A1284">
        <w:t xml:space="preserve"> k postoji Rady v prvním čtení</w:t>
      </w:r>
      <w:r w:rsidRPr="003A1284">
        <w:rPr>
          <w:rStyle w:val="FootnoteReference"/>
        </w:rPr>
        <w:footnoteReference w:id="4"/>
      </w:r>
      <w:r w:rsidRPr="003A1284">
        <w:t>,</w:t>
      </w:r>
    </w:p>
    <w:p w14:paraId="06E89178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 xml:space="preserve">s ohledem na stanovisko Komise k pozměňovacím návrhům Parlamentu k postoji Rady </w:t>
      </w:r>
      <w:r w:rsidRPr="003A1284">
        <w:lastRenderedPageBreak/>
        <w:t>v prvním čtení (COM(2026)0129),</w:t>
      </w:r>
    </w:p>
    <w:p w14:paraId="23215FE5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>s ohledem na postoj Rady ve druhém čtení,</w:t>
      </w:r>
    </w:p>
    <w:p w14:paraId="5268899D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>s ohledem na čl. 294 odst. 13 Smlouvy o fungování Evropské unie,</w:t>
      </w:r>
    </w:p>
    <w:p w14:paraId="0F74396F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>s ohledem na článek 79 jednacího řádu,</w:t>
      </w:r>
    </w:p>
    <w:p w14:paraId="78CC124A" w14:textId="77777777" w:rsidR="00F8580D" w:rsidRPr="003A1284" w:rsidRDefault="00F8580D" w:rsidP="00F8580D">
      <w:pPr>
        <w:pStyle w:val="NormalHanging12a"/>
      </w:pPr>
      <w:r w:rsidRPr="003A1284">
        <w:t>–</w:t>
      </w:r>
      <w:r w:rsidRPr="003A1284">
        <w:tab/>
        <w:t>s ohledem na zprávu delegace v dohodovacím výboru (A10-0191/2026),</w:t>
      </w:r>
    </w:p>
    <w:p w14:paraId="47E69F36" w14:textId="77777777" w:rsidR="00F8580D" w:rsidRPr="003A1284" w:rsidRDefault="00F8580D" w:rsidP="00F8580D">
      <w:pPr>
        <w:pStyle w:val="NormalHanging12a"/>
      </w:pPr>
      <w:r w:rsidRPr="003A1284">
        <w:t>1.</w:t>
      </w:r>
      <w:r w:rsidRPr="003A1284">
        <w:tab/>
        <w:t>schvaluje společný postoj;</w:t>
      </w:r>
    </w:p>
    <w:p w14:paraId="7576BE0B" w14:textId="77777777" w:rsidR="00F8580D" w:rsidRPr="003A1284" w:rsidRDefault="00F8580D" w:rsidP="00F8580D">
      <w:pPr>
        <w:pStyle w:val="NormalHanging12a"/>
      </w:pPr>
      <w:r w:rsidRPr="003A1284">
        <w:t>2.</w:t>
      </w:r>
      <w:r w:rsidRPr="003A1284">
        <w:tab/>
        <w:t>pověřuje svou předsedkyni, aby společně s předsedou Rady podepsala akt podle čl. 297 odst. 1 Smlouvy o fungování Evropské unie;</w:t>
      </w:r>
    </w:p>
    <w:p w14:paraId="6765AD9F" w14:textId="77777777" w:rsidR="00F8580D" w:rsidRPr="003A1284" w:rsidRDefault="00F8580D" w:rsidP="00F8580D">
      <w:pPr>
        <w:pStyle w:val="NormalHanging12a"/>
      </w:pPr>
      <w:r w:rsidRPr="003A1284">
        <w:t>3.</w:t>
      </w:r>
      <w:r w:rsidRPr="003A1284">
        <w:tab/>
        <w:t>pověřuje svého generálního tajemníka, aby akt podepsal poté, co ověří, že všechny postupy byly řádně ukončeny, a aby společně s generální tajemnicí Rady zajistil jeho zveřejnění v </w:t>
      </w:r>
      <w:r w:rsidRPr="003A1284">
        <w:rPr>
          <w:i/>
          <w:iCs/>
        </w:rPr>
        <w:t>Úředním věstníku Evropské unie</w:t>
      </w:r>
      <w:r w:rsidRPr="003A1284">
        <w:t>;</w:t>
      </w:r>
    </w:p>
    <w:p w14:paraId="2AE6EB9B" w14:textId="19E9DD74" w:rsidR="00E365E1" w:rsidRPr="003A1284" w:rsidRDefault="00F8580D" w:rsidP="006C1F6A">
      <w:pPr>
        <w:pStyle w:val="NormalHanging12a"/>
      </w:pPr>
      <w:r w:rsidRPr="003A1284">
        <w:t>4.</w:t>
      </w:r>
      <w:r w:rsidRPr="003A1284">
        <w:tab/>
        <w:t>pověřuje svou předsedkyni, aby předala toto legislativní usnesení Radě</w:t>
      </w:r>
      <w:r w:rsidR="003A1284">
        <w:t xml:space="preserve"> a</w:t>
      </w:r>
      <w:r w:rsidRPr="003A1284">
        <w:t xml:space="preserve"> Komisi, jakož i vnitrostátním parlamentům.</w:t>
      </w:r>
    </w:p>
    <w:sectPr w:rsidR="00E365E1" w:rsidRPr="003A1284" w:rsidSect="00D077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C739C" w14:textId="77777777" w:rsidR="00C37AF0" w:rsidRPr="00D077EE" w:rsidRDefault="00C37AF0">
      <w:r w:rsidRPr="00D077EE">
        <w:separator/>
      </w:r>
    </w:p>
  </w:endnote>
  <w:endnote w:type="continuationSeparator" w:id="0">
    <w:p w14:paraId="329BE1DA" w14:textId="77777777" w:rsidR="00C37AF0" w:rsidRPr="00D077EE" w:rsidRDefault="00C37AF0">
      <w:r w:rsidRPr="00D077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DC9C" w14:textId="77777777" w:rsidR="00064002" w:rsidRPr="00D077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F5545" w14:textId="77777777" w:rsidR="00064002" w:rsidRPr="00D077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EAD72" w14:textId="77777777" w:rsidR="00064002" w:rsidRPr="00D077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1936" w14:textId="77777777" w:rsidR="00C37AF0" w:rsidRPr="00D077EE" w:rsidRDefault="00C37AF0">
      <w:r w:rsidRPr="00D077EE">
        <w:separator/>
      </w:r>
    </w:p>
  </w:footnote>
  <w:footnote w:type="continuationSeparator" w:id="0">
    <w:p w14:paraId="06C9512D" w14:textId="77777777" w:rsidR="00C37AF0" w:rsidRPr="00D077EE" w:rsidRDefault="00C37AF0">
      <w:r w:rsidRPr="00D077EE">
        <w:continuationSeparator/>
      </w:r>
    </w:p>
  </w:footnote>
  <w:footnote w:id="1">
    <w:p w14:paraId="36F1383B" w14:textId="3265611B" w:rsidR="00F8580D" w:rsidRPr="00D077EE" w:rsidRDefault="00F8580D" w:rsidP="00D077EE">
      <w:pPr>
        <w:pStyle w:val="FootnoteText"/>
        <w:ind w:left="567" w:hanging="567"/>
        <w:rPr>
          <w:sz w:val="24"/>
          <w:lang w:val="cs-CZ"/>
        </w:rPr>
      </w:pPr>
      <w:r w:rsidRPr="00D077EE">
        <w:rPr>
          <w:rStyle w:val="FootnoteReference"/>
          <w:sz w:val="24"/>
          <w:lang w:val="cs-CZ"/>
        </w:rPr>
        <w:footnoteRef/>
      </w:r>
      <w:r w:rsidR="00D077EE" w:rsidRPr="00D077EE">
        <w:rPr>
          <w:sz w:val="24"/>
          <w:lang w:val="cs-CZ"/>
        </w:rPr>
        <w:t xml:space="preserve"> </w:t>
      </w:r>
      <w:r w:rsidR="00D077EE" w:rsidRPr="00D077EE">
        <w:rPr>
          <w:sz w:val="24"/>
          <w:lang w:val="cs-CZ"/>
        </w:rPr>
        <w:tab/>
      </w:r>
      <w:r w:rsidRPr="00D077EE">
        <w:rPr>
          <w:sz w:val="24"/>
          <w:lang w:val="cs-CZ"/>
        </w:rPr>
        <w:t xml:space="preserve">Úř. věst. C 327, 12.11.2013, ELI: </w:t>
      </w:r>
      <w:hyperlink r:id="rId1" w:history="1">
        <w:r w:rsidRPr="00D077EE">
          <w:rPr>
            <w:rStyle w:val="Hyperlink"/>
            <w:sz w:val="24"/>
            <w:lang w:val="cs-CZ"/>
          </w:rPr>
          <w:t>https://eur-lex.europa.eu/legal-content/CS/TXT/?uri=celex%3A52013AE2576</w:t>
        </w:r>
      </w:hyperlink>
      <w:r w:rsidRPr="00D077EE">
        <w:rPr>
          <w:sz w:val="24"/>
          <w:lang w:val="cs-CZ"/>
        </w:rPr>
        <w:t>.</w:t>
      </w:r>
    </w:p>
  </w:footnote>
  <w:footnote w:id="2">
    <w:p w14:paraId="5F0705C0" w14:textId="37529BF5" w:rsidR="00F8580D" w:rsidRPr="00D077EE" w:rsidRDefault="00F8580D" w:rsidP="00D077EE">
      <w:pPr>
        <w:pStyle w:val="FootnoteText"/>
        <w:ind w:left="567" w:hanging="567"/>
        <w:rPr>
          <w:sz w:val="24"/>
          <w:lang w:val="cs-CZ"/>
        </w:rPr>
      </w:pPr>
      <w:r w:rsidRPr="00D077EE">
        <w:rPr>
          <w:rStyle w:val="FootnoteReference"/>
          <w:sz w:val="24"/>
          <w:lang w:val="cs-CZ"/>
        </w:rPr>
        <w:footnoteRef/>
      </w:r>
      <w:r w:rsidR="00D077EE" w:rsidRPr="00D077EE">
        <w:rPr>
          <w:sz w:val="24"/>
          <w:lang w:val="cs-CZ"/>
        </w:rPr>
        <w:t xml:space="preserve"> </w:t>
      </w:r>
      <w:r w:rsidR="00D077EE" w:rsidRPr="00D077EE">
        <w:rPr>
          <w:sz w:val="24"/>
          <w:lang w:val="cs-CZ"/>
        </w:rPr>
        <w:tab/>
      </w:r>
      <w:r w:rsidRPr="00D077EE">
        <w:rPr>
          <w:sz w:val="24"/>
          <w:lang w:val="cs-CZ"/>
        </w:rPr>
        <w:t xml:space="preserve">Úř. věst. C 93, 24.3.2017, ELI: </w:t>
      </w:r>
      <w:hyperlink r:id="rId2" w:history="1">
        <w:r w:rsidRPr="00D077EE">
          <w:rPr>
            <w:rStyle w:val="Hyperlink"/>
            <w:sz w:val="24"/>
            <w:lang w:val="cs-CZ"/>
          </w:rPr>
          <w:t>https://eur-lex.europa.eu/legal-content/CS/TXT/?uri=celex%3A52014AP0092</w:t>
        </w:r>
      </w:hyperlink>
      <w:r w:rsidRPr="00D077EE">
        <w:rPr>
          <w:sz w:val="24"/>
          <w:lang w:val="cs-CZ"/>
        </w:rPr>
        <w:t xml:space="preserve"> / Přijaté texty, 5.2.2014, P7_TA(2014)0092.</w:t>
      </w:r>
    </w:p>
  </w:footnote>
  <w:footnote w:id="3">
    <w:p w14:paraId="2B747A2E" w14:textId="67F33D7C" w:rsidR="00F8580D" w:rsidRPr="00D077EE" w:rsidRDefault="00F8580D" w:rsidP="00D077EE">
      <w:pPr>
        <w:pStyle w:val="FootnoteText"/>
        <w:ind w:left="567" w:hanging="567"/>
        <w:rPr>
          <w:sz w:val="24"/>
          <w:lang w:val="cs-CZ"/>
        </w:rPr>
      </w:pPr>
      <w:r w:rsidRPr="00D077EE">
        <w:rPr>
          <w:rStyle w:val="FootnoteReference"/>
          <w:sz w:val="24"/>
          <w:lang w:val="cs-CZ"/>
        </w:rPr>
        <w:footnoteRef/>
      </w:r>
      <w:r w:rsidR="00D077EE" w:rsidRPr="00D077EE">
        <w:rPr>
          <w:sz w:val="24"/>
          <w:lang w:val="cs-CZ"/>
        </w:rPr>
        <w:t xml:space="preserve"> </w:t>
      </w:r>
      <w:r w:rsidR="00D077EE" w:rsidRPr="00D077EE">
        <w:rPr>
          <w:sz w:val="24"/>
          <w:lang w:val="cs-CZ"/>
        </w:rPr>
        <w:tab/>
      </w:r>
      <w:r w:rsidRPr="00D077EE">
        <w:rPr>
          <w:sz w:val="24"/>
          <w:lang w:val="cs-CZ"/>
        </w:rPr>
        <w:t>Přijaté texty, 21.1.2026, P10_TA(2026)0009.</w:t>
      </w:r>
    </w:p>
  </w:footnote>
  <w:footnote w:id="4">
    <w:p w14:paraId="2E8011FA" w14:textId="58500A56" w:rsidR="00F8580D" w:rsidRPr="00D077EE" w:rsidRDefault="00F8580D" w:rsidP="00D077EE">
      <w:pPr>
        <w:pStyle w:val="FootnoteText"/>
        <w:ind w:left="567" w:hanging="567"/>
        <w:rPr>
          <w:sz w:val="24"/>
          <w:lang w:val="cs-CZ"/>
        </w:rPr>
      </w:pPr>
      <w:r w:rsidRPr="00D077EE">
        <w:rPr>
          <w:rStyle w:val="FootnoteReference"/>
          <w:sz w:val="24"/>
          <w:lang w:val="cs-CZ"/>
        </w:rPr>
        <w:footnoteRef/>
      </w:r>
      <w:r w:rsidR="00D077EE" w:rsidRPr="00D077EE">
        <w:rPr>
          <w:sz w:val="24"/>
          <w:lang w:val="cs-CZ"/>
        </w:rPr>
        <w:t xml:space="preserve"> </w:t>
      </w:r>
      <w:r w:rsidR="00D077EE" w:rsidRPr="00D077EE">
        <w:rPr>
          <w:sz w:val="24"/>
          <w:lang w:val="cs-CZ"/>
        </w:rPr>
        <w:tab/>
      </w:r>
      <w:r w:rsidRPr="00D077EE">
        <w:rPr>
          <w:sz w:val="24"/>
          <w:lang w:val="cs-CZ"/>
        </w:rPr>
        <w:t xml:space="preserve">Úř. věst. C, C/2025/5782, 30.10.2025, ELI: </w:t>
      </w:r>
      <w:hyperlink r:id="rId3" w:history="1">
        <w:r w:rsidRPr="00D077EE">
          <w:rPr>
            <w:rStyle w:val="Hyperlink"/>
            <w:sz w:val="24"/>
            <w:lang w:val="cs-CZ"/>
          </w:rPr>
          <w:t>https://eur-lex.europa.eu/legal-content/CS/TXT/?uri=celex%3A52025AG0010%2801%29</w:t>
        </w:r>
      </w:hyperlink>
      <w:r w:rsidRPr="00D077E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FF95" w14:textId="77777777" w:rsidR="00064002" w:rsidRPr="00D077E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C0403" w14:textId="77777777" w:rsidR="00064002" w:rsidRPr="00D077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C9DA6" w14:textId="77777777" w:rsidR="00064002" w:rsidRPr="00D077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DA941D3"/>
    <w:multiLevelType w:val="hybridMultilevel"/>
    <w:tmpl w:val="67F2350C"/>
    <w:lvl w:ilvl="0" w:tplc="77743CD6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191486">
    <w:abstractNumId w:val="9"/>
  </w:num>
  <w:num w:numId="2" w16cid:durableId="1336760988">
    <w:abstractNumId w:val="9"/>
  </w:num>
  <w:num w:numId="3" w16cid:durableId="914049946">
    <w:abstractNumId w:val="7"/>
  </w:num>
  <w:num w:numId="4" w16cid:durableId="1367099237">
    <w:abstractNumId w:val="7"/>
  </w:num>
  <w:num w:numId="5" w16cid:durableId="1263411961">
    <w:abstractNumId w:val="6"/>
  </w:num>
  <w:num w:numId="6" w16cid:durableId="950941050">
    <w:abstractNumId w:val="6"/>
  </w:num>
  <w:num w:numId="7" w16cid:durableId="1689061681">
    <w:abstractNumId w:val="5"/>
  </w:num>
  <w:num w:numId="8" w16cid:durableId="1187869630">
    <w:abstractNumId w:val="5"/>
  </w:num>
  <w:num w:numId="9" w16cid:durableId="1047726832">
    <w:abstractNumId w:val="4"/>
  </w:num>
  <w:num w:numId="10" w16cid:durableId="1882548060">
    <w:abstractNumId w:val="4"/>
  </w:num>
  <w:num w:numId="11" w16cid:durableId="1685940739">
    <w:abstractNumId w:val="8"/>
  </w:num>
  <w:num w:numId="12" w16cid:durableId="1002124481">
    <w:abstractNumId w:val="8"/>
  </w:num>
  <w:num w:numId="13" w16cid:durableId="1052730159">
    <w:abstractNumId w:val="3"/>
  </w:num>
  <w:num w:numId="14" w16cid:durableId="190802732">
    <w:abstractNumId w:val="3"/>
  </w:num>
  <w:num w:numId="15" w16cid:durableId="1439134603">
    <w:abstractNumId w:val="2"/>
  </w:num>
  <w:num w:numId="16" w16cid:durableId="839782034">
    <w:abstractNumId w:val="2"/>
  </w:num>
  <w:num w:numId="17" w16cid:durableId="906303216">
    <w:abstractNumId w:val="1"/>
  </w:num>
  <w:num w:numId="18" w16cid:durableId="836382732">
    <w:abstractNumId w:val="1"/>
  </w:num>
  <w:num w:numId="19" w16cid:durableId="1112701549">
    <w:abstractNumId w:val="0"/>
  </w:num>
  <w:num w:numId="20" w16cid:durableId="419764744">
    <w:abstractNumId w:val="0"/>
  </w:num>
  <w:num w:numId="21" w16cid:durableId="1812206324">
    <w:abstractNumId w:val="9"/>
  </w:num>
  <w:num w:numId="22" w16cid:durableId="618873224">
    <w:abstractNumId w:val="7"/>
  </w:num>
  <w:num w:numId="23" w16cid:durableId="1976446465">
    <w:abstractNumId w:val="6"/>
  </w:num>
  <w:num w:numId="24" w16cid:durableId="722027887">
    <w:abstractNumId w:val="5"/>
  </w:num>
  <w:num w:numId="25" w16cid:durableId="777867582">
    <w:abstractNumId w:val="4"/>
  </w:num>
  <w:num w:numId="26" w16cid:durableId="2042780432">
    <w:abstractNumId w:val="8"/>
  </w:num>
  <w:num w:numId="27" w16cid:durableId="1642029302">
    <w:abstractNumId w:val="3"/>
  </w:num>
  <w:num w:numId="28" w16cid:durableId="1983660050">
    <w:abstractNumId w:val="2"/>
  </w:num>
  <w:num w:numId="29" w16cid:durableId="1981567751">
    <w:abstractNumId w:val="1"/>
  </w:num>
  <w:num w:numId="30" w16cid:durableId="957952599">
    <w:abstractNumId w:val="0"/>
  </w:num>
  <w:num w:numId="31" w16cid:durableId="1951736174">
    <w:abstractNumId w:val="9"/>
  </w:num>
  <w:num w:numId="32" w16cid:durableId="1568763255">
    <w:abstractNumId w:val="7"/>
  </w:num>
  <w:num w:numId="33" w16cid:durableId="2090685836">
    <w:abstractNumId w:val="6"/>
  </w:num>
  <w:num w:numId="34" w16cid:durableId="1446845649">
    <w:abstractNumId w:val="5"/>
  </w:num>
  <w:num w:numId="35" w16cid:durableId="642739954">
    <w:abstractNumId w:val="4"/>
  </w:num>
  <w:num w:numId="36" w16cid:durableId="1263489649">
    <w:abstractNumId w:val="8"/>
  </w:num>
  <w:num w:numId="37" w16cid:durableId="222907274">
    <w:abstractNumId w:val="3"/>
  </w:num>
  <w:num w:numId="38" w16cid:durableId="1623923525">
    <w:abstractNumId w:val="2"/>
  </w:num>
  <w:num w:numId="39" w16cid:durableId="520976587">
    <w:abstractNumId w:val="1"/>
  </w:num>
  <w:num w:numId="40" w16cid:durableId="163863594">
    <w:abstractNumId w:val="0"/>
  </w:num>
  <w:num w:numId="41" w16cid:durableId="475028691">
    <w:abstractNumId w:val="10"/>
  </w:num>
  <w:num w:numId="42" w16cid:durableId="494609321">
    <w:abstractNumId w:val="10"/>
  </w:num>
  <w:num w:numId="43" w16cid:durableId="725295227">
    <w:abstractNumId w:val="10"/>
  </w:num>
  <w:num w:numId="44" w16cid:durableId="1533424261">
    <w:abstractNumId w:val="11"/>
  </w:num>
  <w:num w:numId="45" w16cid:durableId="1100548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6"/>
    <w:docVar w:name="dvlangue" w:val="CS"/>
    <w:docVar w:name="dvnumam" w:val="0"/>
    <w:docVar w:name="dvpe" w:val="790.161"/>
    <w:docVar w:name="dvrapporteur" w:val="Zpravodaj: "/>
    <w:docVar w:name="dvstar" w:val="***III"/>
    <w:docVar w:name="dvtitre" w:val="Legislativní usnesení Evropského parlamentu ze dne 7. července 2026 o společném návrhu nařízení Evropského parlamentu a Rady o změně nařízení (ES) č. 261/2004, kterým se stanoví společná pravidla náhrad a pomoci cestujícím v letecké dopravě v případě odepření nástupu na palubu, zrušení nebo významného zpoždění letů, a nařízení (ES) č. 2027/97 o odpovědnosti leteckého dopravce při letecké dopravě cestujících a jejich zavazadel, schváleném dohodovacím výborem(PE-CONS 00039/2026 – C10-0144/2026 – 2013/0072(COD))"/>
  </w:docVars>
  <w:rsids>
    <w:rsidRoot w:val="00C37A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1284"/>
    <w:rsid w:val="003E15D4"/>
    <w:rsid w:val="00411CCE"/>
    <w:rsid w:val="00415B7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334E"/>
    <w:rsid w:val="00545827"/>
    <w:rsid w:val="00560270"/>
    <w:rsid w:val="005C2568"/>
    <w:rsid w:val="005F1B17"/>
    <w:rsid w:val="006037C0"/>
    <w:rsid w:val="006631B6"/>
    <w:rsid w:val="00680577"/>
    <w:rsid w:val="006C1F6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AF0"/>
    <w:rsid w:val="00C41654"/>
    <w:rsid w:val="00C61C0C"/>
    <w:rsid w:val="00C941CB"/>
    <w:rsid w:val="00CC2357"/>
    <w:rsid w:val="00CF071A"/>
    <w:rsid w:val="00CF7F19"/>
    <w:rsid w:val="00D058B8"/>
    <w:rsid w:val="00D077EE"/>
    <w:rsid w:val="00D56C11"/>
    <w:rsid w:val="00D834A0"/>
    <w:rsid w:val="00D872DF"/>
    <w:rsid w:val="00D91E21"/>
    <w:rsid w:val="00DA7FCD"/>
    <w:rsid w:val="00DB176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580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1950B"/>
  <w15:chartTrackingRefBased/>
  <w15:docId w15:val="{B4DF26ED-872B-4A2A-BF56-29309D5F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580D"/>
    <w:pPr>
      <w:spacing w:before="480" w:after="240"/>
    </w:pPr>
  </w:style>
  <w:style w:type="paragraph" w:customStyle="1" w:styleId="NormalBold">
    <w:name w:val="NormalBold"/>
    <w:basedOn w:val="Normal"/>
    <w:rsid w:val="00F8580D"/>
    <w:rPr>
      <w:b/>
    </w:rPr>
  </w:style>
  <w:style w:type="paragraph" w:customStyle="1" w:styleId="NormalHanging12a">
    <w:name w:val="NormalHanging12a"/>
    <w:basedOn w:val="Normal"/>
    <w:rsid w:val="00F8580D"/>
    <w:pPr>
      <w:spacing w:after="240"/>
      <w:ind w:left="567" w:hanging="567"/>
    </w:pPr>
  </w:style>
  <w:style w:type="character" w:styleId="Hyperlink">
    <w:name w:val="Hyperlink"/>
    <w:basedOn w:val="DefaultParagraphFont"/>
    <w:rsid w:val="00F8580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A1284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CS/TXT/?uri=celex%3A52025AG0010%2801%29" TargetMode="External"/><Relationship Id="rId2" Type="http://schemas.openxmlformats.org/officeDocument/2006/relationships/hyperlink" Target="https://eur-lex.europa.eu/legal-content/CS/TXT/?uri=celex%3A52014AP0092" TargetMode="External"/><Relationship Id="rId1" Type="http://schemas.openxmlformats.org/officeDocument/2006/relationships/hyperlink" Target="https://eur-lex.europa.eu/legal-content/CS/TXT/?uri=celex%3A52013AE257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2026-07-07T11:03:00Z</dcterms:created>
  <dcterms:modified xsi:type="dcterms:W3CDTF">2026-07-07T11:03:00Z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A10-0191/2026</vt:lpwstr>
  </property>
  <property fmtid="{D5CDD505-2E9C-101B-9397-08002B2CF9AE}" pid="4" name="&lt;Type&gt;">
    <vt:lpwstr>RR</vt:lpwstr>
  </property>
</Properties>
</file>