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05A83" w14:paraId="0E84D4B9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4D8EEDCA" w14:textId="77777777" w:rsidR="00751A4A" w:rsidRPr="00505A83" w:rsidRDefault="00EE2EB4" w:rsidP="0010095E">
            <w:pPr>
              <w:pStyle w:val="EPName"/>
            </w:pPr>
            <w:r w:rsidRPr="00505A83">
              <w:t>Europa-Parlamentet</w:t>
            </w:r>
          </w:p>
          <w:p w14:paraId="7F453F1D" w14:textId="77777777" w:rsidR="00751A4A" w:rsidRPr="00505A83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05A83">
              <w:t>2024</w:t>
            </w:r>
            <w:r w:rsidR="00817416" w:rsidRPr="00505A83">
              <w:t>-202</w:t>
            </w:r>
            <w:r w:rsidRPr="00505A83">
              <w:t>9</w:t>
            </w:r>
          </w:p>
        </w:tc>
        <w:tc>
          <w:tcPr>
            <w:tcW w:w="2268" w:type="dxa"/>
            <w:shd w:val="clear" w:color="auto" w:fill="auto"/>
          </w:tcPr>
          <w:p w14:paraId="1E93287C" w14:textId="77777777" w:rsidR="00751A4A" w:rsidRPr="00505A83" w:rsidRDefault="00187494" w:rsidP="0010095E">
            <w:pPr>
              <w:pStyle w:val="EPLogo"/>
            </w:pPr>
            <w:r w:rsidRPr="00505A83">
              <w:rPr>
                <w:noProof/>
                <w:lang w:eastAsia="ja-JP"/>
              </w:rPr>
              <w:drawing>
                <wp:inline distT="0" distB="0" distL="0" distR="0" wp14:anchorId="39391081" wp14:editId="5D3B036C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E16F1D" w14:textId="77777777" w:rsidR="00D058B8" w:rsidRPr="00505A83" w:rsidRDefault="00D058B8" w:rsidP="004C5D52">
      <w:pPr>
        <w:pStyle w:val="LineTop"/>
      </w:pPr>
    </w:p>
    <w:p w14:paraId="1B705DF7" w14:textId="77777777" w:rsidR="00680577" w:rsidRPr="00505A83" w:rsidRDefault="00EE2EB4" w:rsidP="00680577">
      <w:pPr>
        <w:pStyle w:val="EPBodyTA1"/>
      </w:pPr>
      <w:r w:rsidRPr="00505A83">
        <w:t>VEDTAGNE TEKSTER</w:t>
      </w:r>
    </w:p>
    <w:p w14:paraId="40D18993" w14:textId="77777777" w:rsidR="00D058B8" w:rsidRPr="00505A83" w:rsidRDefault="00D058B8" w:rsidP="00D058B8">
      <w:pPr>
        <w:pStyle w:val="LineBottom"/>
      </w:pPr>
    </w:p>
    <w:p w14:paraId="419792C3" w14:textId="7C8B036C" w:rsidR="00EE2EB4" w:rsidRPr="00505A83" w:rsidRDefault="00EE2EB4" w:rsidP="00EE2EB4">
      <w:pPr>
        <w:pStyle w:val="ATHeading1"/>
      </w:pPr>
      <w:bookmarkStart w:id="0" w:name="TANumber"/>
      <w:r w:rsidRPr="00505A83">
        <w:t>P10_</w:t>
      </w:r>
      <w:proofErr w:type="gramStart"/>
      <w:r w:rsidRPr="00505A83">
        <w:t>TA(</w:t>
      </w:r>
      <w:proofErr w:type="gramEnd"/>
      <w:r w:rsidRPr="00505A83">
        <w:t>2026)0</w:t>
      </w:r>
      <w:bookmarkEnd w:id="0"/>
      <w:r w:rsidR="00A30181">
        <w:t>238</w:t>
      </w:r>
    </w:p>
    <w:p w14:paraId="6EE60BD1" w14:textId="6631B49D" w:rsidR="00EE2EB4" w:rsidRPr="004D0765" w:rsidRDefault="004D0765" w:rsidP="00EE2EB4">
      <w:pPr>
        <w:pStyle w:val="ATHeading2"/>
      </w:pPr>
      <w:r w:rsidRPr="00D55720">
        <w:rPr>
          <w:bCs/>
        </w:rPr>
        <w:t>Flypassagerers rettigheder</w:t>
      </w:r>
    </w:p>
    <w:p w14:paraId="0A604DFC" w14:textId="77777777" w:rsidR="00EE2EB4" w:rsidRPr="00505A83" w:rsidRDefault="00EE2EB4" w:rsidP="00EE2EB4">
      <w:pPr>
        <w:rPr>
          <w:i/>
          <w:vanish/>
        </w:rPr>
      </w:pPr>
      <w:r w:rsidRPr="00505A83">
        <w:rPr>
          <w:i/>
        </w:rPr>
        <w:fldChar w:fldCharType="begin"/>
      </w:r>
      <w:r w:rsidRPr="00505A83">
        <w:rPr>
          <w:i/>
        </w:rPr>
        <w:instrText xml:space="preserve"> TC"(</w:instrText>
      </w:r>
      <w:bookmarkStart w:id="1" w:name="DocNumber"/>
      <w:r w:rsidRPr="00505A83">
        <w:rPr>
          <w:i/>
        </w:rPr>
        <w:instrText>A10-0191/2026</w:instrText>
      </w:r>
      <w:bookmarkEnd w:id="1"/>
      <w:r w:rsidRPr="00505A83">
        <w:rPr>
          <w:i/>
        </w:rPr>
        <w:instrText xml:space="preserve"> - Ordfører: Roberta Metsola)"\l3 \n&gt; \* MERGEFORMAT </w:instrText>
      </w:r>
      <w:r w:rsidRPr="00505A83">
        <w:rPr>
          <w:i/>
        </w:rPr>
        <w:fldChar w:fldCharType="end"/>
      </w:r>
    </w:p>
    <w:p w14:paraId="2B9C762B" w14:textId="77777777" w:rsidR="00EE2EB4" w:rsidRPr="00505A83" w:rsidRDefault="00EE2EB4" w:rsidP="00EE2EB4">
      <w:pPr>
        <w:rPr>
          <w:vanish/>
        </w:rPr>
      </w:pPr>
      <w:bookmarkStart w:id="2" w:name="Commission"/>
      <w:r w:rsidRPr="00505A83">
        <w:rPr>
          <w:vanish/>
        </w:rPr>
        <w:t>Europa-Parlamentets Delegation til Forligsudvalget</w:t>
      </w:r>
      <w:bookmarkEnd w:id="2"/>
    </w:p>
    <w:p w14:paraId="2C6E1D40" w14:textId="77777777" w:rsidR="00EE2EB4" w:rsidRPr="00505A83" w:rsidRDefault="00EE2EB4" w:rsidP="00EE2EB4">
      <w:pPr>
        <w:rPr>
          <w:vanish/>
        </w:rPr>
      </w:pPr>
      <w:bookmarkStart w:id="3" w:name="PE"/>
      <w:r w:rsidRPr="00505A83">
        <w:rPr>
          <w:vanish/>
        </w:rPr>
        <w:t>PE790.161</w:t>
      </w:r>
      <w:bookmarkEnd w:id="3"/>
    </w:p>
    <w:p w14:paraId="1764DA9F" w14:textId="687DDEF8" w:rsidR="00EE2EB4" w:rsidRPr="00505A83" w:rsidRDefault="00EE2EB4" w:rsidP="00EE2EB4">
      <w:pPr>
        <w:pStyle w:val="ATHeading3"/>
      </w:pPr>
      <w:bookmarkStart w:id="4" w:name="Sujet"/>
      <w:r w:rsidRPr="00505A83">
        <w:t xml:space="preserve">Europa-Parlamentets lovgivningsmæssige beslutning af </w:t>
      </w:r>
      <w:r w:rsidR="004D0765">
        <w:t>7. juli</w:t>
      </w:r>
      <w:r w:rsidRPr="00505A83">
        <w:t xml:space="preserve"> 2026 om Forligsudvalgets fælles udkast til Europa-Parlamentets og Rådets forordning om ændring af forordning (EF) nr. 261/2004 om fælles bestemmelser om kompensation og bistand til luftfartspassagerer ved boardingafvisning og ved aflysning eller lange forsinkelser og forordning (EF) nr. 2027/97 om luftfartsselskabers erstatningsansvar for så vidt angår lufttransport af passagerer og deres bagage</w:t>
      </w:r>
      <w:bookmarkEnd w:id="4"/>
      <w:r w:rsidRPr="00505A83">
        <w:t xml:space="preserve"> </w:t>
      </w:r>
      <w:bookmarkStart w:id="5" w:name="References"/>
      <w:r w:rsidRPr="00505A83">
        <w:t>(PE-CONS 00039/2026 – C10-0144/2026 – 2013/0072(COD))</w:t>
      </w:r>
      <w:bookmarkEnd w:id="5"/>
    </w:p>
    <w:p w14:paraId="400918D6" w14:textId="77777777" w:rsidR="00F2402E" w:rsidRPr="00505A83" w:rsidRDefault="00F2402E" w:rsidP="00F2402E">
      <w:pPr>
        <w:pStyle w:val="NormalBold"/>
      </w:pPr>
      <w:r w:rsidRPr="00505A83">
        <w:t>(Almindelig lovgivningsprocedure: tredjebehandling)</w:t>
      </w:r>
    </w:p>
    <w:p w14:paraId="380AA920" w14:textId="77777777" w:rsidR="00F2402E" w:rsidRPr="00505A83" w:rsidRDefault="00F2402E" w:rsidP="00F2402E">
      <w:pPr>
        <w:pStyle w:val="EPComma"/>
      </w:pPr>
      <w:r w:rsidRPr="00505A83">
        <w:rPr>
          <w:i/>
          <w:iCs/>
        </w:rPr>
        <w:t>Europa-Parlamentet</w:t>
      </w:r>
      <w:r w:rsidRPr="00505A83">
        <w:t>,</w:t>
      </w:r>
    </w:p>
    <w:p w14:paraId="0C07133C" w14:textId="77777777" w:rsidR="00F2402E" w:rsidRPr="00505A83" w:rsidRDefault="00F2402E" w:rsidP="00F2402E">
      <w:pPr>
        <w:pStyle w:val="NormalHanging12a"/>
      </w:pPr>
      <w:r w:rsidRPr="00505A83">
        <w:t>–</w:t>
      </w:r>
      <w:r w:rsidRPr="00505A83">
        <w:tab/>
        <w:t>der henviser til Forligsudvalgets fælles udkast (PE-CONS 00039/2026 – C10</w:t>
      </w:r>
      <w:r w:rsidRPr="00505A83">
        <w:noBreakHyphen/>
        <w:t>0144/2026),</w:t>
      </w:r>
    </w:p>
    <w:p w14:paraId="067999C6" w14:textId="77777777" w:rsidR="00F2402E" w:rsidRDefault="00F2402E" w:rsidP="00F2402E">
      <w:pPr>
        <w:pStyle w:val="NormalHanging12a"/>
      </w:pPr>
      <w:r w:rsidRPr="00505A83">
        <w:t>–</w:t>
      </w:r>
      <w:r w:rsidRPr="00505A83">
        <w:tab/>
        <w:t>der henviser til udtalelse af 11. juli 2013 fra Det Europæiske Økonomiske og Sociale Udvalg</w:t>
      </w:r>
      <w:r w:rsidRPr="00505A83">
        <w:rPr>
          <w:rStyle w:val="FootnoteReference"/>
        </w:rPr>
        <w:footnoteReference w:id="1"/>
      </w:r>
      <w:r w:rsidRPr="00505A83">
        <w:t>,</w:t>
      </w:r>
    </w:p>
    <w:p w14:paraId="5F431F9C" w14:textId="57510DC2" w:rsidR="004D0765" w:rsidRPr="004D0765" w:rsidRDefault="004D0765" w:rsidP="00F2402E">
      <w:pPr>
        <w:pStyle w:val="NormalHanging12a"/>
      </w:pPr>
      <w:r w:rsidRPr="00505A83">
        <w:t>–</w:t>
      </w:r>
      <w:r w:rsidRPr="00505A83">
        <w:tab/>
      </w:r>
      <w:r w:rsidRPr="00D55720">
        <w:t>efter høring af Regionsudvalget,</w:t>
      </w:r>
    </w:p>
    <w:p w14:paraId="020D0485" w14:textId="77777777" w:rsidR="00F2402E" w:rsidRPr="00505A83" w:rsidRDefault="00F2402E" w:rsidP="00F2402E">
      <w:pPr>
        <w:pStyle w:val="NormalHanging12a"/>
      </w:pPr>
      <w:r w:rsidRPr="00505A83">
        <w:t>–</w:t>
      </w:r>
      <w:r w:rsidRPr="00505A83">
        <w:tab/>
        <w:t>der henviser til sin holdning ved førstebehandling</w:t>
      </w:r>
      <w:r w:rsidRPr="00505A83">
        <w:rPr>
          <w:rStyle w:val="FootnoteReference"/>
        </w:rPr>
        <w:footnoteReference w:id="2"/>
      </w:r>
      <w:r w:rsidRPr="00505A83">
        <w:t xml:space="preserve"> til Kommissionens forslag til Europa-Parlamentet og Rådet (</w:t>
      </w:r>
      <w:proofErr w:type="gramStart"/>
      <w:r w:rsidRPr="00505A83">
        <w:t>COM(</w:t>
      </w:r>
      <w:proofErr w:type="gramEnd"/>
      <w:r w:rsidRPr="00505A83">
        <w:t>2013)0130),</w:t>
      </w:r>
    </w:p>
    <w:p w14:paraId="48730FA6" w14:textId="77777777" w:rsidR="00F2402E" w:rsidRPr="00505A83" w:rsidRDefault="00F2402E" w:rsidP="00F2402E">
      <w:pPr>
        <w:pStyle w:val="NormalHanging12a"/>
      </w:pPr>
      <w:r w:rsidRPr="00505A83">
        <w:t>–</w:t>
      </w:r>
      <w:r w:rsidRPr="00505A83">
        <w:tab/>
        <w:t>der henviser til sin holdning ved andenbehandling</w:t>
      </w:r>
      <w:r w:rsidRPr="00505A83">
        <w:rPr>
          <w:rStyle w:val="FootnoteReference"/>
        </w:rPr>
        <w:footnoteReference w:id="3"/>
      </w:r>
      <w:r w:rsidRPr="00505A83">
        <w:t xml:space="preserve"> til Rådets førstebehandlingsholdning</w:t>
      </w:r>
      <w:r w:rsidRPr="00505A83">
        <w:rPr>
          <w:rStyle w:val="FootnoteReference"/>
        </w:rPr>
        <w:footnoteReference w:id="4"/>
      </w:r>
      <w:r w:rsidRPr="00505A83">
        <w:t>,</w:t>
      </w:r>
    </w:p>
    <w:p w14:paraId="012C2907" w14:textId="58928D17" w:rsidR="00F2402E" w:rsidRPr="00505A83" w:rsidRDefault="00F2402E" w:rsidP="00F2402E">
      <w:pPr>
        <w:pStyle w:val="NormalHanging12a"/>
      </w:pPr>
      <w:r w:rsidRPr="00505A83">
        <w:lastRenderedPageBreak/>
        <w:t>–</w:t>
      </w:r>
      <w:r w:rsidRPr="00505A83">
        <w:tab/>
        <w:t>der henviser til Kommissionens udtalelse om Parlamentets ændringer til Rådets førstebehandlingsholdning (</w:t>
      </w:r>
      <w:proofErr w:type="gramStart"/>
      <w:r w:rsidRPr="00505A83">
        <w:t>COM(</w:t>
      </w:r>
      <w:proofErr w:type="gramEnd"/>
      <w:r w:rsidRPr="00505A83">
        <w:t>2026)0129),</w:t>
      </w:r>
    </w:p>
    <w:p w14:paraId="162EB43B" w14:textId="77777777" w:rsidR="00F2402E" w:rsidRPr="00505A83" w:rsidRDefault="00F2402E" w:rsidP="00F2402E">
      <w:pPr>
        <w:pStyle w:val="NormalHanging12a"/>
      </w:pPr>
      <w:r w:rsidRPr="00505A83">
        <w:t>–</w:t>
      </w:r>
      <w:r w:rsidRPr="00505A83">
        <w:tab/>
        <w:t>der henviser til Rådets andenbehandlingsholdning;</w:t>
      </w:r>
    </w:p>
    <w:p w14:paraId="18C5083D" w14:textId="77777777" w:rsidR="00F2402E" w:rsidRPr="00505A83" w:rsidRDefault="00F2402E" w:rsidP="00F2402E">
      <w:pPr>
        <w:pStyle w:val="NormalHanging12a"/>
      </w:pPr>
      <w:r w:rsidRPr="00505A83">
        <w:t>–</w:t>
      </w:r>
      <w:r w:rsidRPr="00505A83">
        <w:tab/>
        <w:t>der henviser til artikel 294, stk. 13, i traktaten om Den Europæiske Unions funktionsmåde,</w:t>
      </w:r>
    </w:p>
    <w:p w14:paraId="59D9D21B" w14:textId="77777777" w:rsidR="00F2402E" w:rsidRPr="00505A83" w:rsidRDefault="00F2402E" w:rsidP="00F2402E">
      <w:pPr>
        <w:pStyle w:val="NormalHanging12a"/>
      </w:pPr>
      <w:r w:rsidRPr="00505A83">
        <w:t>–</w:t>
      </w:r>
      <w:r w:rsidRPr="00505A83">
        <w:tab/>
        <w:t>der henviser til forretningsordenens artikel 79,</w:t>
      </w:r>
    </w:p>
    <w:p w14:paraId="145E3203" w14:textId="77777777" w:rsidR="00F2402E" w:rsidRPr="00505A83" w:rsidRDefault="00F2402E" w:rsidP="00F2402E">
      <w:pPr>
        <w:pStyle w:val="NormalHanging12a"/>
      </w:pPr>
      <w:r w:rsidRPr="00505A83">
        <w:t>–</w:t>
      </w:r>
      <w:r w:rsidRPr="00505A83">
        <w:tab/>
        <w:t>der henviser til betænkning fra sin delegation til Forligsudvalget (A10-0191/2026),</w:t>
      </w:r>
    </w:p>
    <w:p w14:paraId="7CB150F0" w14:textId="77777777" w:rsidR="00F2402E" w:rsidRPr="00505A83" w:rsidRDefault="00F2402E" w:rsidP="00F2402E">
      <w:pPr>
        <w:pStyle w:val="NormalHanging12a"/>
      </w:pPr>
      <w:r w:rsidRPr="00505A83">
        <w:t>1.</w:t>
      </w:r>
      <w:r w:rsidRPr="00505A83">
        <w:tab/>
        <w:t>godkender det fælles udkast;</w:t>
      </w:r>
    </w:p>
    <w:p w14:paraId="397AFBB4" w14:textId="77777777" w:rsidR="00F2402E" w:rsidRPr="00505A83" w:rsidRDefault="00F2402E" w:rsidP="00F2402E">
      <w:pPr>
        <w:pStyle w:val="NormalHanging12a"/>
      </w:pPr>
      <w:r w:rsidRPr="00505A83">
        <w:t>2.</w:t>
      </w:r>
      <w:r w:rsidRPr="00505A83">
        <w:tab/>
        <w:t>pålægger sin formand sammen med Rådets formand at undertegne retsakten, jf. artikel 297, stk. 1, i traktaten om Den Europæiske Unions funktionsmåde;</w:t>
      </w:r>
    </w:p>
    <w:p w14:paraId="3E16ED40" w14:textId="77777777" w:rsidR="00F2402E" w:rsidRPr="00505A83" w:rsidRDefault="00F2402E" w:rsidP="00F2402E">
      <w:pPr>
        <w:pStyle w:val="NormalHanging12a"/>
      </w:pPr>
      <w:r w:rsidRPr="00505A83">
        <w:t>3.</w:t>
      </w:r>
      <w:r w:rsidRPr="00505A83">
        <w:tab/>
        <w:t xml:space="preserve">pålægger sin generalsekretær at undertegne retsakten, efter at det er kontrolleret, at alle procedurer er behørigt afsluttet, og efter aftale med Rådets generalsekretær at foranledige, at den offentliggøres i </w:t>
      </w:r>
      <w:r w:rsidRPr="00505A83">
        <w:rPr>
          <w:i/>
          <w:iCs/>
        </w:rPr>
        <w:t>Den Europæiske Unions Tidende</w:t>
      </w:r>
      <w:r w:rsidRPr="00505A83">
        <w:t>;</w:t>
      </w:r>
    </w:p>
    <w:p w14:paraId="7A4980E2" w14:textId="0C5270C0" w:rsidR="00E365E1" w:rsidRPr="00505A83" w:rsidRDefault="00F2402E" w:rsidP="004D0765">
      <w:pPr>
        <w:pStyle w:val="NormalHanging12a"/>
      </w:pPr>
      <w:r w:rsidRPr="00505A83">
        <w:t>4.</w:t>
      </w:r>
      <w:r w:rsidRPr="00505A83">
        <w:tab/>
        <w:t>pålægger sin formand at sende denne lovgivningsmæssige beslutning til Rådet og Kommissionen samt til de nationale parlamenter.</w:t>
      </w:r>
    </w:p>
    <w:sectPr w:rsidR="00E365E1" w:rsidRPr="00505A83" w:rsidSect="00505A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2D314C" w14:textId="77777777" w:rsidR="00EE2EB4" w:rsidRPr="00505A83" w:rsidRDefault="00EE2EB4">
      <w:r w:rsidRPr="00505A83">
        <w:separator/>
      </w:r>
    </w:p>
  </w:endnote>
  <w:endnote w:type="continuationSeparator" w:id="0">
    <w:p w14:paraId="3516014C" w14:textId="77777777" w:rsidR="00EE2EB4" w:rsidRPr="00505A83" w:rsidRDefault="00EE2EB4">
      <w:r w:rsidRPr="00505A8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4E87" w14:textId="77777777" w:rsidR="00064002" w:rsidRPr="00505A83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7E71D" w14:textId="77777777" w:rsidR="00064002" w:rsidRPr="00505A83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00C0D1" w14:textId="77777777" w:rsidR="00064002" w:rsidRPr="00505A83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7B50" w14:textId="77777777" w:rsidR="00EE2EB4" w:rsidRPr="00505A83" w:rsidRDefault="00EE2EB4">
      <w:r w:rsidRPr="00505A83">
        <w:separator/>
      </w:r>
    </w:p>
  </w:footnote>
  <w:footnote w:type="continuationSeparator" w:id="0">
    <w:p w14:paraId="2C0DABE6" w14:textId="77777777" w:rsidR="00EE2EB4" w:rsidRPr="00505A83" w:rsidRDefault="00EE2EB4">
      <w:r w:rsidRPr="00505A83">
        <w:continuationSeparator/>
      </w:r>
    </w:p>
  </w:footnote>
  <w:footnote w:id="1">
    <w:p w14:paraId="0587A5FB" w14:textId="1C3B955A" w:rsidR="00F2402E" w:rsidRPr="00505A83" w:rsidRDefault="00F2402E" w:rsidP="00505A83">
      <w:pPr>
        <w:pStyle w:val="FootnoteText"/>
        <w:ind w:left="567" w:hanging="567"/>
        <w:rPr>
          <w:sz w:val="24"/>
          <w:lang w:val="da-DK"/>
        </w:rPr>
      </w:pPr>
      <w:r w:rsidRPr="00505A83">
        <w:rPr>
          <w:rStyle w:val="FootnoteReference"/>
          <w:sz w:val="24"/>
          <w:lang w:val="da-DK"/>
        </w:rPr>
        <w:footnoteRef/>
      </w:r>
      <w:r w:rsidR="00505A83" w:rsidRPr="00505A83">
        <w:rPr>
          <w:sz w:val="24"/>
          <w:lang w:val="da-DK"/>
        </w:rPr>
        <w:t xml:space="preserve"> </w:t>
      </w:r>
      <w:r w:rsidR="00505A83" w:rsidRPr="00505A83">
        <w:rPr>
          <w:sz w:val="24"/>
          <w:lang w:val="da-DK"/>
        </w:rPr>
        <w:tab/>
      </w:r>
      <w:r w:rsidRPr="00505A83">
        <w:rPr>
          <w:sz w:val="24"/>
          <w:lang w:val="da-DK"/>
        </w:rPr>
        <w:t xml:space="preserve">EUT C 327 af 12.11.2013, ELI: </w:t>
      </w:r>
      <w:r>
        <w:fldChar w:fldCharType="begin"/>
      </w:r>
      <w:r w:rsidRPr="00A30181">
        <w:rPr>
          <w:lang w:val="da-DK"/>
        </w:rPr>
        <w:instrText>HYPERLINK "https://eur-lex.europa.eu/legal-content/DA/TXT/?uri=celex%3A52013AE2576"</w:instrText>
      </w:r>
      <w:r>
        <w:fldChar w:fldCharType="separate"/>
      </w:r>
      <w:r w:rsidRPr="00505A83">
        <w:rPr>
          <w:rStyle w:val="Hyperlink"/>
          <w:sz w:val="24"/>
          <w:lang w:val="da-DK"/>
        </w:rPr>
        <w:t>https://eur-lex.europa.eu/legal-content/DA/TXT/?uri=celex%3A52013AE2576</w:t>
      </w:r>
      <w:r>
        <w:fldChar w:fldCharType="end"/>
      </w:r>
      <w:r w:rsidRPr="00505A83">
        <w:rPr>
          <w:sz w:val="24"/>
          <w:lang w:val="da-DK"/>
        </w:rPr>
        <w:t>.</w:t>
      </w:r>
    </w:p>
  </w:footnote>
  <w:footnote w:id="2">
    <w:p w14:paraId="3FF74E8C" w14:textId="2AAAC935" w:rsidR="00F2402E" w:rsidRPr="00505A83" w:rsidRDefault="00F2402E" w:rsidP="00505A83">
      <w:pPr>
        <w:pStyle w:val="FootnoteText"/>
        <w:ind w:left="567" w:hanging="567"/>
        <w:rPr>
          <w:sz w:val="24"/>
          <w:lang w:val="da-DK"/>
        </w:rPr>
      </w:pPr>
      <w:r w:rsidRPr="00505A83">
        <w:rPr>
          <w:rStyle w:val="FootnoteReference"/>
          <w:sz w:val="24"/>
          <w:lang w:val="da-DK"/>
        </w:rPr>
        <w:footnoteRef/>
      </w:r>
      <w:r w:rsidR="00505A83" w:rsidRPr="00505A83">
        <w:rPr>
          <w:sz w:val="24"/>
          <w:lang w:val="da-DK"/>
        </w:rPr>
        <w:t xml:space="preserve"> </w:t>
      </w:r>
      <w:r w:rsidR="00505A83" w:rsidRPr="00505A83">
        <w:rPr>
          <w:sz w:val="24"/>
          <w:lang w:val="da-DK"/>
        </w:rPr>
        <w:tab/>
      </w:r>
      <w:r w:rsidRPr="00505A83">
        <w:rPr>
          <w:sz w:val="24"/>
          <w:lang w:val="da-DK"/>
        </w:rPr>
        <w:t xml:space="preserve">EUT C 93 af 24.3.2017, ELI: </w:t>
      </w:r>
      <w:r>
        <w:fldChar w:fldCharType="begin"/>
      </w:r>
      <w:r w:rsidRPr="00A30181">
        <w:rPr>
          <w:lang w:val="da-DK"/>
        </w:rPr>
        <w:instrText>HYPERLINK "https://eur-lex.europa.eu/legal-content/DA/TXT/?uri=celex%3A52014AP0092"</w:instrText>
      </w:r>
      <w:r>
        <w:fldChar w:fldCharType="separate"/>
      </w:r>
      <w:r w:rsidRPr="00505A83">
        <w:rPr>
          <w:rStyle w:val="Hyperlink"/>
          <w:sz w:val="24"/>
          <w:lang w:val="da-DK"/>
        </w:rPr>
        <w:t>https://eur-lex.europa.eu/legal-content/DA/TXT/?uri=celex%3A52014AP0092</w:t>
      </w:r>
      <w:r>
        <w:fldChar w:fldCharType="end"/>
      </w:r>
      <w:r w:rsidRPr="00505A83">
        <w:rPr>
          <w:sz w:val="24"/>
          <w:lang w:val="da-DK"/>
        </w:rPr>
        <w:t>/Vedtagne tekster 5.2.2014, P7_</w:t>
      </w:r>
      <w:proofErr w:type="gramStart"/>
      <w:r w:rsidRPr="00505A83">
        <w:rPr>
          <w:sz w:val="24"/>
          <w:lang w:val="da-DK"/>
        </w:rPr>
        <w:t>TA(</w:t>
      </w:r>
      <w:proofErr w:type="gramEnd"/>
      <w:r w:rsidRPr="00505A83">
        <w:rPr>
          <w:sz w:val="24"/>
          <w:lang w:val="da-DK"/>
        </w:rPr>
        <w:t>2014)0092.</w:t>
      </w:r>
    </w:p>
  </w:footnote>
  <w:footnote w:id="3">
    <w:p w14:paraId="0D8D2BD3" w14:textId="142EC68D" w:rsidR="00F2402E" w:rsidRPr="00505A83" w:rsidRDefault="00F2402E" w:rsidP="00505A83">
      <w:pPr>
        <w:pStyle w:val="FootnoteText"/>
        <w:ind w:left="567" w:hanging="567"/>
        <w:rPr>
          <w:sz w:val="24"/>
          <w:lang w:val="da-DK"/>
        </w:rPr>
      </w:pPr>
      <w:r w:rsidRPr="00505A83">
        <w:rPr>
          <w:rStyle w:val="FootnoteReference"/>
          <w:sz w:val="24"/>
          <w:lang w:val="da-DK"/>
        </w:rPr>
        <w:footnoteRef/>
      </w:r>
      <w:r w:rsidR="00505A83" w:rsidRPr="00505A83">
        <w:rPr>
          <w:sz w:val="24"/>
          <w:lang w:val="da-DK"/>
        </w:rPr>
        <w:t xml:space="preserve"> </w:t>
      </w:r>
      <w:r w:rsidR="00505A83" w:rsidRPr="00505A83">
        <w:rPr>
          <w:sz w:val="24"/>
          <w:lang w:val="da-DK"/>
        </w:rPr>
        <w:tab/>
      </w:r>
      <w:r w:rsidRPr="00505A83">
        <w:rPr>
          <w:sz w:val="24"/>
          <w:lang w:val="da-DK"/>
        </w:rPr>
        <w:t>Vedtagne tekster 21.1.2026, P10_</w:t>
      </w:r>
      <w:proofErr w:type="gramStart"/>
      <w:r w:rsidRPr="00505A83">
        <w:rPr>
          <w:sz w:val="24"/>
          <w:lang w:val="da-DK"/>
        </w:rPr>
        <w:t>TA(</w:t>
      </w:r>
      <w:proofErr w:type="gramEnd"/>
      <w:r w:rsidRPr="00505A83">
        <w:rPr>
          <w:sz w:val="24"/>
          <w:lang w:val="da-DK"/>
        </w:rPr>
        <w:t>2026)0009.</w:t>
      </w:r>
    </w:p>
  </w:footnote>
  <w:footnote w:id="4">
    <w:p w14:paraId="7BD704C2" w14:textId="174F9903" w:rsidR="00F2402E" w:rsidRPr="00505A83" w:rsidRDefault="00F2402E" w:rsidP="00505A83">
      <w:pPr>
        <w:pStyle w:val="FootnoteText"/>
        <w:ind w:left="567" w:hanging="567"/>
        <w:rPr>
          <w:sz w:val="24"/>
          <w:lang w:val="da-DK"/>
        </w:rPr>
      </w:pPr>
      <w:r w:rsidRPr="00505A83">
        <w:rPr>
          <w:rStyle w:val="FootnoteReference"/>
          <w:sz w:val="24"/>
          <w:lang w:val="da-DK"/>
        </w:rPr>
        <w:footnoteRef/>
      </w:r>
      <w:r w:rsidR="00505A83" w:rsidRPr="00505A83">
        <w:rPr>
          <w:sz w:val="24"/>
          <w:lang w:val="da-DK"/>
        </w:rPr>
        <w:t xml:space="preserve"> </w:t>
      </w:r>
      <w:r w:rsidR="00505A83" w:rsidRPr="00505A83">
        <w:rPr>
          <w:sz w:val="24"/>
          <w:lang w:val="da-DK"/>
        </w:rPr>
        <w:tab/>
      </w:r>
      <w:r w:rsidRPr="00505A83">
        <w:rPr>
          <w:sz w:val="24"/>
          <w:lang w:val="da-DK"/>
        </w:rPr>
        <w:t xml:space="preserve">EUT C, C/2025/5782, 30.10.2025, ELI: </w:t>
      </w:r>
      <w:r>
        <w:fldChar w:fldCharType="begin"/>
      </w:r>
      <w:r w:rsidRPr="00A30181">
        <w:rPr>
          <w:lang w:val="da-DK"/>
        </w:rPr>
        <w:instrText>HYPERLINK "https://eur-lex.europa.eu/legal-content/DA/TXT/?uri=celex%3A52025AG0010%2801%29"</w:instrText>
      </w:r>
      <w:r>
        <w:fldChar w:fldCharType="separate"/>
      </w:r>
      <w:r w:rsidRPr="00505A83">
        <w:rPr>
          <w:rStyle w:val="Hyperlink"/>
          <w:sz w:val="24"/>
          <w:lang w:val="da-DK"/>
        </w:rPr>
        <w:t>https://eur-lex.europa.eu/legal-content/DA/TXT/?uri=celex%3A52025AG0010%2801%29</w:t>
      </w:r>
      <w:r>
        <w:fldChar w:fldCharType="end"/>
      </w:r>
      <w:r w:rsidRPr="00505A83">
        <w:rPr>
          <w:sz w:val="24"/>
          <w:lang w:val="da-D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A0BDE" w14:textId="77777777" w:rsidR="00064002" w:rsidRPr="00505A83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10461" w14:textId="77777777" w:rsidR="00064002" w:rsidRPr="00505A83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F308E" w14:textId="77777777" w:rsidR="00064002" w:rsidRPr="00505A83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74742164">
    <w:abstractNumId w:val="9"/>
  </w:num>
  <w:num w:numId="2" w16cid:durableId="713849311">
    <w:abstractNumId w:val="9"/>
  </w:num>
  <w:num w:numId="3" w16cid:durableId="1731683089">
    <w:abstractNumId w:val="7"/>
  </w:num>
  <w:num w:numId="4" w16cid:durableId="1045105228">
    <w:abstractNumId w:val="7"/>
  </w:num>
  <w:num w:numId="5" w16cid:durableId="1853449218">
    <w:abstractNumId w:val="6"/>
  </w:num>
  <w:num w:numId="6" w16cid:durableId="1212301197">
    <w:abstractNumId w:val="6"/>
  </w:num>
  <w:num w:numId="7" w16cid:durableId="1193498866">
    <w:abstractNumId w:val="5"/>
  </w:num>
  <w:num w:numId="8" w16cid:durableId="689257229">
    <w:abstractNumId w:val="5"/>
  </w:num>
  <w:num w:numId="9" w16cid:durableId="242373477">
    <w:abstractNumId w:val="4"/>
  </w:num>
  <w:num w:numId="10" w16cid:durableId="927426513">
    <w:abstractNumId w:val="4"/>
  </w:num>
  <w:num w:numId="11" w16cid:durableId="2065524947">
    <w:abstractNumId w:val="8"/>
  </w:num>
  <w:num w:numId="12" w16cid:durableId="1632443709">
    <w:abstractNumId w:val="8"/>
  </w:num>
  <w:num w:numId="13" w16cid:durableId="875239958">
    <w:abstractNumId w:val="3"/>
  </w:num>
  <w:num w:numId="14" w16cid:durableId="243540849">
    <w:abstractNumId w:val="3"/>
  </w:num>
  <w:num w:numId="15" w16cid:durableId="239026029">
    <w:abstractNumId w:val="2"/>
  </w:num>
  <w:num w:numId="16" w16cid:durableId="916935970">
    <w:abstractNumId w:val="2"/>
  </w:num>
  <w:num w:numId="17" w16cid:durableId="1358122864">
    <w:abstractNumId w:val="1"/>
  </w:num>
  <w:num w:numId="18" w16cid:durableId="2050765115">
    <w:abstractNumId w:val="1"/>
  </w:num>
  <w:num w:numId="19" w16cid:durableId="41709773">
    <w:abstractNumId w:val="0"/>
  </w:num>
  <w:num w:numId="20" w16cid:durableId="493036493">
    <w:abstractNumId w:val="0"/>
  </w:num>
  <w:num w:numId="21" w16cid:durableId="1437867972">
    <w:abstractNumId w:val="9"/>
  </w:num>
  <w:num w:numId="22" w16cid:durableId="2108573796">
    <w:abstractNumId w:val="7"/>
  </w:num>
  <w:num w:numId="23" w16cid:durableId="1810129465">
    <w:abstractNumId w:val="6"/>
  </w:num>
  <w:num w:numId="24" w16cid:durableId="2116829828">
    <w:abstractNumId w:val="5"/>
  </w:num>
  <w:num w:numId="25" w16cid:durableId="1836411365">
    <w:abstractNumId w:val="4"/>
  </w:num>
  <w:num w:numId="26" w16cid:durableId="367492231">
    <w:abstractNumId w:val="8"/>
  </w:num>
  <w:num w:numId="27" w16cid:durableId="1834100779">
    <w:abstractNumId w:val="3"/>
  </w:num>
  <w:num w:numId="28" w16cid:durableId="755370906">
    <w:abstractNumId w:val="2"/>
  </w:num>
  <w:num w:numId="29" w16cid:durableId="1294214863">
    <w:abstractNumId w:val="1"/>
  </w:num>
  <w:num w:numId="30" w16cid:durableId="1315065078">
    <w:abstractNumId w:val="0"/>
  </w:num>
  <w:num w:numId="31" w16cid:durableId="1527207229">
    <w:abstractNumId w:val="9"/>
  </w:num>
  <w:num w:numId="32" w16cid:durableId="441920419">
    <w:abstractNumId w:val="7"/>
  </w:num>
  <w:num w:numId="33" w16cid:durableId="1964535909">
    <w:abstractNumId w:val="6"/>
  </w:num>
  <w:num w:numId="34" w16cid:durableId="1522696066">
    <w:abstractNumId w:val="5"/>
  </w:num>
  <w:num w:numId="35" w16cid:durableId="352346015">
    <w:abstractNumId w:val="4"/>
  </w:num>
  <w:num w:numId="36" w16cid:durableId="50887725">
    <w:abstractNumId w:val="8"/>
  </w:num>
  <w:num w:numId="37" w16cid:durableId="360280858">
    <w:abstractNumId w:val="3"/>
  </w:num>
  <w:num w:numId="38" w16cid:durableId="1061753168">
    <w:abstractNumId w:val="2"/>
  </w:num>
  <w:num w:numId="39" w16cid:durableId="10113265">
    <w:abstractNumId w:val="1"/>
  </w:num>
  <w:num w:numId="40" w16cid:durableId="569929866">
    <w:abstractNumId w:val="0"/>
  </w:num>
  <w:num w:numId="41" w16cid:durableId="2113746584">
    <w:abstractNumId w:val="10"/>
  </w:num>
  <w:num w:numId="42" w16cid:durableId="821000721">
    <w:abstractNumId w:val="10"/>
  </w:num>
  <w:num w:numId="43" w16cid:durableId="1895500822">
    <w:abstractNumId w:val="10"/>
  </w:num>
  <w:num w:numId="44" w16cid:durableId="51657734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docse" w:val="A10-0191/2026"/>
    <w:docVar w:name="dvlangue" w:val="DA"/>
    <w:docVar w:name="dvnumam" w:val="0"/>
    <w:docVar w:name="dvpe" w:val="790.161"/>
    <w:docVar w:name="dvrapporteur" w:val="Ordfører: "/>
    <w:docVar w:name="dvstar" w:val="***III"/>
    <w:docVar w:name="dvtitre" w:val="Europa-Parlamentets lovgivningsmæssige beslutning af xx.xx 2026 om Forligsudvalgets fælles udkast til Europa-Parlamentets og Rådets forordning om ændring af forordning (EF) nr. 261/2004 om fælles bestemmelser om kompensation og bistand til luftfartspassagerer ved boardingafvisning og ved aflysning eller lange forsinkelser og forordning (EF) nr. 2027/97 om luftfartsselskabers erstatningsansvar for så vidt angår lufttransport af passagerer og deres bagage(PE-CONS 00039/2026 – C10-0144/2026 – 2013/0072(COD))"/>
  </w:docVars>
  <w:rsids>
    <w:rsidRoot w:val="00EE2EB4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21CD3"/>
    <w:rsid w:val="002767FF"/>
    <w:rsid w:val="002B18FE"/>
    <w:rsid w:val="002B5493"/>
    <w:rsid w:val="00343214"/>
    <w:rsid w:val="00361C00"/>
    <w:rsid w:val="00395FA1"/>
    <w:rsid w:val="003E15D4"/>
    <w:rsid w:val="00402FF3"/>
    <w:rsid w:val="00411CCE"/>
    <w:rsid w:val="0041666E"/>
    <w:rsid w:val="00421060"/>
    <w:rsid w:val="004659B9"/>
    <w:rsid w:val="00471C19"/>
    <w:rsid w:val="004867E3"/>
    <w:rsid w:val="00494A28"/>
    <w:rsid w:val="004C0004"/>
    <w:rsid w:val="004C5D52"/>
    <w:rsid w:val="004D0765"/>
    <w:rsid w:val="0050519A"/>
    <w:rsid w:val="00505A83"/>
    <w:rsid w:val="005072A1"/>
    <w:rsid w:val="00514517"/>
    <w:rsid w:val="00545827"/>
    <w:rsid w:val="00560270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30181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55720"/>
    <w:rsid w:val="00D56C11"/>
    <w:rsid w:val="00D834A0"/>
    <w:rsid w:val="00D872DF"/>
    <w:rsid w:val="00D91E21"/>
    <w:rsid w:val="00DA7FCD"/>
    <w:rsid w:val="00E365E1"/>
    <w:rsid w:val="00E50BE7"/>
    <w:rsid w:val="00E820A4"/>
    <w:rsid w:val="00EB006A"/>
    <w:rsid w:val="00EB4772"/>
    <w:rsid w:val="00ED169E"/>
    <w:rsid w:val="00ED4235"/>
    <w:rsid w:val="00EE2EB4"/>
    <w:rsid w:val="00F04346"/>
    <w:rsid w:val="00F075DC"/>
    <w:rsid w:val="00F149E9"/>
    <w:rsid w:val="00F2402E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E4CF54"/>
  <w15:chartTrackingRefBased/>
  <w15:docId w15:val="{B44980E2-2A84-481B-B21B-A38BCC354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a-DK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F2402E"/>
    <w:pPr>
      <w:spacing w:before="480" w:after="240"/>
    </w:pPr>
  </w:style>
  <w:style w:type="paragraph" w:customStyle="1" w:styleId="NormalBold">
    <w:name w:val="NormalBold"/>
    <w:basedOn w:val="Normal"/>
    <w:rsid w:val="00F2402E"/>
    <w:rPr>
      <w:b/>
    </w:rPr>
  </w:style>
  <w:style w:type="paragraph" w:customStyle="1" w:styleId="NormalHanging12a">
    <w:name w:val="NormalHanging12a"/>
    <w:basedOn w:val="Normal"/>
    <w:rsid w:val="00F2402E"/>
    <w:pPr>
      <w:spacing w:after="240"/>
      <w:ind w:left="567" w:hanging="567"/>
    </w:pPr>
  </w:style>
  <w:style w:type="character" w:styleId="Hyperlink">
    <w:name w:val="Hyperlink"/>
    <w:basedOn w:val="DefaultParagraphFont"/>
    <w:rsid w:val="00F2402E"/>
    <w:rPr>
      <w:color w:val="0563C1" w:themeColor="hyperlink"/>
      <w:u w:val="single"/>
    </w:rPr>
  </w:style>
  <w:style w:type="paragraph" w:styleId="Revision">
    <w:name w:val="Revision"/>
    <w:hidden/>
    <w:uiPriority w:val="99"/>
    <w:semiHidden/>
    <w:rsid w:val="004D0765"/>
    <w:rPr>
      <w:sz w:val="24"/>
      <w:lang w:val="da-DK"/>
    </w:rPr>
  </w:style>
  <w:style w:type="character" w:styleId="CommentReference">
    <w:name w:val="annotation reference"/>
    <w:basedOn w:val="DefaultParagraphFont"/>
    <w:rsid w:val="00E50B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E50BE7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50BE7"/>
    <w:rPr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E50B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50BE7"/>
    <w:rPr>
      <w:b/>
      <w:bCs/>
      <w:lang w:val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03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255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BENDIXEN Majbritt</dc:creator>
  <cp:keywords/>
  <cp:lastModifiedBy>BENDIXEN Majbritt</cp:lastModifiedBy>
  <cp:revision>4</cp:revision>
  <cp:lastPrinted>2004-11-19T15:42:00Z</cp:lastPrinted>
  <dcterms:created xsi:type="dcterms:W3CDTF">2026-07-03T12:03:00Z</dcterms:created>
  <dcterms:modified xsi:type="dcterms:W3CDTF">2026-07-07T10:58:00Z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DA</vt:lpwstr>
  </property>
  <property fmtid="{D5CDD505-2E9C-101B-9397-08002B2CF9AE}" pid="3" name="&lt;FdR&gt;">
    <vt:lpwstr>A10-0191/2026</vt:lpwstr>
  </property>
  <property fmtid="{D5CDD505-2E9C-101B-9397-08002B2CF9AE}" pid="4" name="&lt;Type&gt;">
    <vt:lpwstr>RR</vt:lpwstr>
  </property>
</Properties>
</file>