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2D5F" w14:paraId="765323B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588B6D" w14:textId="77777777" w:rsidR="00751A4A" w:rsidRPr="00BF2D5F" w:rsidRDefault="00354F93" w:rsidP="0010095E">
            <w:pPr>
              <w:pStyle w:val="EPName"/>
            </w:pPr>
            <w:r w:rsidRPr="00BF2D5F">
              <w:t>Euroopa Parlament</w:t>
            </w:r>
          </w:p>
          <w:p w14:paraId="29E9A9B8" w14:textId="77777777" w:rsidR="00751A4A" w:rsidRPr="00BF2D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2D5F">
              <w:t>2024</w:t>
            </w:r>
            <w:r w:rsidR="00817416" w:rsidRPr="00BF2D5F">
              <w:t>-202</w:t>
            </w:r>
            <w:r w:rsidRPr="00BF2D5F">
              <w:t>9</w:t>
            </w:r>
          </w:p>
        </w:tc>
        <w:tc>
          <w:tcPr>
            <w:tcW w:w="2268" w:type="dxa"/>
            <w:shd w:val="clear" w:color="auto" w:fill="auto"/>
          </w:tcPr>
          <w:p w14:paraId="0420B883" w14:textId="77777777" w:rsidR="00751A4A" w:rsidRPr="00BF2D5F" w:rsidRDefault="00187494" w:rsidP="0010095E">
            <w:pPr>
              <w:pStyle w:val="EPLogo"/>
            </w:pPr>
            <w:r w:rsidRPr="00BF2D5F">
              <w:rPr>
                <w:noProof/>
                <w:lang w:eastAsia="ja-JP"/>
              </w:rPr>
              <w:drawing>
                <wp:inline distT="0" distB="0" distL="0" distR="0" wp14:anchorId="71EA3120" wp14:editId="406B9A6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D6703" w14:textId="77777777" w:rsidR="00D058B8" w:rsidRPr="00BF2D5F" w:rsidRDefault="00D058B8" w:rsidP="004C5D52">
      <w:pPr>
        <w:pStyle w:val="LineTop"/>
      </w:pPr>
    </w:p>
    <w:p w14:paraId="41B5C7F7" w14:textId="77777777" w:rsidR="00680577" w:rsidRPr="00BF2D5F" w:rsidRDefault="00354F93" w:rsidP="00680577">
      <w:pPr>
        <w:pStyle w:val="EPBodyTA1"/>
      </w:pPr>
      <w:r w:rsidRPr="00BF2D5F">
        <w:t>VASTUVÕETUD TEKSTID</w:t>
      </w:r>
    </w:p>
    <w:p w14:paraId="75C51B87" w14:textId="77777777" w:rsidR="00D058B8" w:rsidRPr="00BF2D5F" w:rsidRDefault="00D058B8" w:rsidP="00D058B8">
      <w:pPr>
        <w:pStyle w:val="LineBottom"/>
      </w:pPr>
    </w:p>
    <w:p w14:paraId="25BE1137" w14:textId="1E70CD5E" w:rsidR="00354F93" w:rsidRPr="00BF2D5F" w:rsidRDefault="00354F93" w:rsidP="00354F93">
      <w:pPr>
        <w:pStyle w:val="ATHeading1"/>
      </w:pPr>
      <w:bookmarkStart w:id="0" w:name="TANumber"/>
      <w:r w:rsidRPr="00BF2D5F">
        <w:t>P10_TA(2026)0</w:t>
      </w:r>
      <w:bookmarkEnd w:id="0"/>
      <w:r w:rsidR="005065B1">
        <w:t>238</w:t>
      </w:r>
    </w:p>
    <w:p w14:paraId="07A73889" w14:textId="77777777" w:rsidR="00354F93" w:rsidRPr="00BF2D5F" w:rsidRDefault="00354F93" w:rsidP="00354F93">
      <w:pPr>
        <w:pStyle w:val="ATHeading2"/>
      </w:pPr>
      <w:bookmarkStart w:id="1" w:name="title"/>
      <w:r w:rsidRPr="00BF2D5F">
        <w:t>Lennureisijate õigused</w:t>
      </w:r>
      <w:bookmarkEnd w:id="1"/>
    </w:p>
    <w:p w14:paraId="3530932C" w14:textId="77777777" w:rsidR="00354F93" w:rsidRPr="00BF2D5F" w:rsidRDefault="00354F93" w:rsidP="00354F93">
      <w:pPr>
        <w:rPr>
          <w:i/>
          <w:vanish/>
        </w:rPr>
      </w:pPr>
      <w:r w:rsidRPr="00BF2D5F">
        <w:rPr>
          <w:i/>
        </w:rPr>
        <w:fldChar w:fldCharType="begin"/>
      </w:r>
      <w:r w:rsidRPr="00BF2D5F">
        <w:rPr>
          <w:i/>
        </w:rPr>
        <w:instrText xml:space="preserve"> TC"(</w:instrText>
      </w:r>
      <w:bookmarkStart w:id="2" w:name="DocNumber"/>
      <w:r w:rsidRPr="00BF2D5F">
        <w:rPr>
          <w:i/>
        </w:rPr>
        <w:instrText>A10-0191/2026</w:instrText>
      </w:r>
      <w:bookmarkEnd w:id="2"/>
      <w:r w:rsidRPr="00BF2D5F">
        <w:rPr>
          <w:i/>
        </w:rPr>
        <w:instrText xml:space="preserve"> - Raportöör: Roberta Metsola)"\l3 \n&gt; \* MERGEFORMAT </w:instrText>
      </w:r>
      <w:r w:rsidRPr="00BF2D5F">
        <w:rPr>
          <w:i/>
        </w:rPr>
        <w:fldChar w:fldCharType="end"/>
      </w:r>
    </w:p>
    <w:p w14:paraId="238AC9B1" w14:textId="77777777" w:rsidR="00354F93" w:rsidRPr="00BF2D5F" w:rsidRDefault="00354F93" w:rsidP="00354F93">
      <w:pPr>
        <w:rPr>
          <w:vanish/>
        </w:rPr>
      </w:pPr>
      <w:bookmarkStart w:id="3" w:name="Commission"/>
      <w:r w:rsidRPr="00BF2D5F">
        <w:rPr>
          <w:vanish/>
        </w:rPr>
        <w:t>Euroopa Parlamendi delegatsioon lepituskomitees</w:t>
      </w:r>
      <w:bookmarkEnd w:id="3"/>
    </w:p>
    <w:p w14:paraId="1E684273" w14:textId="77777777" w:rsidR="00354F93" w:rsidRPr="00BF2D5F" w:rsidRDefault="00354F93" w:rsidP="00354F93">
      <w:pPr>
        <w:rPr>
          <w:vanish/>
        </w:rPr>
      </w:pPr>
      <w:bookmarkStart w:id="4" w:name="PE"/>
      <w:r w:rsidRPr="00BF2D5F">
        <w:rPr>
          <w:vanish/>
        </w:rPr>
        <w:t>PE790.161</w:t>
      </w:r>
      <w:bookmarkEnd w:id="4"/>
    </w:p>
    <w:p w14:paraId="20CA03A1" w14:textId="1989C988" w:rsidR="00354F93" w:rsidRPr="00BF2D5F" w:rsidRDefault="00354F93" w:rsidP="00354F93">
      <w:pPr>
        <w:pStyle w:val="ATHeading3"/>
      </w:pPr>
      <w:bookmarkStart w:id="5" w:name="Sujet"/>
      <w:r w:rsidRPr="00BF2D5F">
        <w:t xml:space="preserve">Euroopa Parlamendi </w:t>
      </w:r>
      <w:r w:rsidR="00A9695B">
        <w:t>7</w:t>
      </w:r>
      <w:r w:rsidRPr="00BF2D5F">
        <w:t>.</w:t>
      </w:r>
      <w:r w:rsidR="00A9695B">
        <w:t> juuli</w:t>
      </w:r>
      <w:r w:rsidRPr="00BF2D5F">
        <w:t xml:space="preserve"> 2026.</w:t>
      </w:r>
      <w:r w:rsidR="00A9695B">
        <w:t> </w:t>
      </w:r>
      <w:r w:rsidRPr="00BF2D5F">
        <w:t>aasta seadusandlik resolutsioon lepituskomitees heaks kiidetud ühise teksti kohta eesmärgiga võtta vastu Euroopa Parlamendi ja nõukogu määrus, millega muudetakse määrust (EÜ) nr 261/2004, millega kehtestatakse ühiseeskirjad pardale lubamisest keeldumise korral ning lendude tühistamise või pikaajalise hilinemise eest reisijatele antava hüvitise ja abi kohta, ning määrust (EÜ) nr 2027/97 lennuettevõtja vastutuse kohta reisijate ja nende pagasi õhuveol</w:t>
      </w:r>
      <w:bookmarkEnd w:id="5"/>
      <w:r w:rsidRPr="00BF2D5F">
        <w:t xml:space="preserve"> </w:t>
      </w:r>
      <w:bookmarkStart w:id="6" w:name="References"/>
      <w:r w:rsidRPr="00BF2D5F">
        <w:t>(PE-CONS 00039/2026 – C10-0144/2026 – 2013/0072(COD))</w:t>
      </w:r>
      <w:bookmarkEnd w:id="6"/>
    </w:p>
    <w:p w14:paraId="74362B56" w14:textId="77777777" w:rsidR="00787E54" w:rsidRPr="00BF2D5F" w:rsidRDefault="00787E54" w:rsidP="00787E54">
      <w:pPr>
        <w:pStyle w:val="NormalBold"/>
      </w:pPr>
      <w:r w:rsidRPr="00BF2D5F">
        <w:t>(Seadusandlik tavamenetlus: kolmas lugemine)</w:t>
      </w:r>
    </w:p>
    <w:p w14:paraId="5D2983CB" w14:textId="77777777" w:rsidR="00787E54" w:rsidRPr="00BF2D5F" w:rsidRDefault="00787E54" w:rsidP="00787E54">
      <w:pPr>
        <w:pStyle w:val="EPComma"/>
      </w:pPr>
      <w:r w:rsidRPr="00BF2D5F">
        <w:rPr>
          <w:i/>
        </w:rPr>
        <w:t>Euroopa Parlament</w:t>
      </w:r>
      <w:r w:rsidRPr="00BF2D5F">
        <w:t>,</w:t>
      </w:r>
    </w:p>
    <w:p w14:paraId="1CB1DED6" w14:textId="77777777" w:rsidR="00787E54" w:rsidRPr="00BF2D5F" w:rsidRDefault="00787E54" w:rsidP="00787E54">
      <w:pPr>
        <w:pStyle w:val="NormalHanging12a"/>
      </w:pPr>
      <w:r w:rsidRPr="00BF2D5F">
        <w:t>–</w:t>
      </w:r>
      <w:r w:rsidRPr="00BF2D5F">
        <w:tab/>
        <w:t>võttes arvesse lepituskomitees heaks kiidetud ühist teksti (PE-CONS 00039/2026 – C10</w:t>
      </w:r>
      <w:r w:rsidRPr="00BF2D5F">
        <w:noBreakHyphen/>
        <w:t>0144/2026),</w:t>
      </w:r>
    </w:p>
    <w:p w14:paraId="6EBE7448" w14:textId="77777777" w:rsidR="00787E54" w:rsidRDefault="00787E54" w:rsidP="00787E54">
      <w:pPr>
        <w:pStyle w:val="NormalHanging12a"/>
      </w:pPr>
      <w:r w:rsidRPr="00BF2D5F">
        <w:t>–</w:t>
      </w:r>
      <w:r w:rsidRPr="00BF2D5F">
        <w:tab/>
        <w:t>võttes arvesse Euroopa Majandus- ja Sotsiaalkomitee 11. juuli 2013. aasta arvamust</w:t>
      </w:r>
      <w:r w:rsidRPr="00BF2D5F">
        <w:rPr>
          <w:rStyle w:val="FootnoteReference"/>
        </w:rPr>
        <w:footnoteReference w:id="1"/>
      </w:r>
      <w:r w:rsidRPr="00BF2D5F">
        <w:t>,</w:t>
      </w:r>
    </w:p>
    <w:p w14:paraId="063B939E" w14:textId="75BA6745" w:rsidR="00A9695B" w:rsidRPr="00BF2D5F" w:rsidRDefault="00A9695B" w:rsidP="00787E54">
      <w:pPr>
        <w:pStyle w:val="NormalHanging12a"/>
      </w:pPr>
      <w:r w:rsidRPr="00BF2D5F">
        <w:t>–</w:t>
      </w:r>
      <w:r w:rsidRPr="00BF2D5F">
        <w:tab/>
      </w:r>
      <w:r>
        <w:t xml:space="preserve">pärast </w:t>
      </w:r>
      <w:r w:rsidRPr="00A9695B">
        <w:t>konsulteerimist Regioonide Komiteega,</w:t>
      </w:r>
    </w:p>
    <w:p w14:paraId="1B7FE55F" w14:textId="77777777" w:rsidR="00787E54" w:rsidRPr="00BF2D5F" w:rsidRDefault="00787E54" w:rsidP="00787E54">
      <w:pPr>
        <w:pStyle w:val="NormalHanging12a"/>
      </w:pPr>
      <w:r w:rsidRPr="00BF2D5F">
        <w:t>–</w:t>
      </w:r>
      <w:r w:rsidRPr="00BF2D5F">
        <w:tab/>
        <w:t>võttes arvesse oma esimese lugemise seisukohta</w:t>
      </w:r>
      <w:r w:rsidRPr="00BF2D5F">
        <w:rPr>
          <w:rStyle w:val="FootnoteReference"/>
        </w:rPr>
        <w:footnoteReference w:id="2"/>
      </w:r>
      <w:r w:rsidRPr="00BF2D5F">
        <w:t xml:space="preserve"> Euroopa Parlamendile ja nõukogule esitatud komisjoni ettepaneku (COM(2013)0130) suhtes,</w:t>
      </w:r>
    </w:p>
    <w:p w14:paraId="148F20B1" w14:textId="77777777" w:rsidR="00787E54" w:rsidRPr="00BF2D5F" w:rsidRDefault="00787E54" w:rsidP="00787E54">
      <w:pPr>
        <w:pStyle w:val="NormalHanging12a"/>
      </w:pPr>
      <w:r w:rsidRPr="00BF2D5F">
        <w:t>–</w:t>
      </w:r>
      <w:r w:rsidRPr="00BF2D5F">
        <w:tab/>
        <w:t>võttes arvesse oma teise lugemise seisukohta</w:t>
      </w:r>
      <w:r w:rsidRPr="00BF2D5F">
        <w:rPr>
          <w:rStyle w:val="FootnoteReference"/>
        </w:rPr>
        <w:footnoteReference w:id="3"/>
      </w:r>
      <w:r w:rsidRPr="00BF2D5F">
        <w:t xml:space="preserve"> nõukogu esimese lugemise seisukoha</w:t>
      </w:r>
      <w:r w:rsidRPr="00BF2D5F">
        <w:rPr>
          <w:rStyle w:val="FootnoteReference"/>
        </w:rPr>
        <w:footnoteReference w:id="4"/>
      </w:r>
      <w:r w:rsidRPr="00BF2D5F">
        <w:t xml:space="preserve"> suhtes,</w:t>
      </w:r>
    </w:p>
    <w:p w14:paraId="51E5DC19" w14:textId="77777777" w:rsidR="00787E54" w:rsidRPr="00BF2D5F" w:rsidRDefault="00787E54" w:rsidP="00787E54">
      <w:pPr>
        <w:pStyle w:val="NormalHanging12a"/>
      </w:pPr>
      <w:r w:rsidRPr="00BF2D5F">
        <w:t>–</w:t>
      </w:r>
      <w:r w:rsidRPr="00BF2D5F">
        <w:tab/>
        <w:t xml:space="preserve">võttes arvesse komisjoni arvamust Euroopa Parlamendi poolt nõukogu esimese </w:t>
      </w:r>
      <w:r w:rsidRPr="00BF2D5F">
        <w:lastRenderedPageBreak/>
        <w:t>lugemise seisukoha suhtes esitatud muudatusettepanekute kohta (COM(2026)0129),</w:t>
      </w:r>
    </w:p>
    <w:p w14:paraId="7A3994F4" w14:textId="77777777" w:rsidR="00787E54" w:rsidRPr="00BF2D5F" w:rsidRDefault="00787E54" w:rsidP="00787E54">
      <w:pPr>
        <w:pStyle w:val="NormalHanging12a"/>
      </w:pPr>
      <w:r w:rsidRPr="00BF2D5F">
        <w:t>–</w:t>
      </w:r>
      <w:r w:rsidRPr="00BF2D5F">
        <w:tab/>
        <w:t>võttes arvesse nõukogu teise lugemise seisukohta,</w:t>
      </w:r>
    </w:p>
    <w:p w14:paraId="0E1447BC" w14:textId="77777777" w:rsidR="00787E54" w:rsidRPr="00BF2D5F" w:rsidRDefault="00787E54" w:rsidP="00787E54">
      <w:pPr>
        <w:pStyle w:val="NormalHanging12a"/>
      </w:pPr>
      <w:r w:rsidRPr="00BF2D5F">
        <w:t>–</w:t>
      </w:r>
      <w:r w:rsidRPr="00BF2D5F">
        <w:tab/>
        <w:t>võttes arvesse Euroopa Liidu toimimise lepingu artikli 294 lõiget 13,</w:t>
      </w:r>
    </w:p>
    <w:p w14:paraId="3B10AAC6" w14:textId="77777777" w:rsidR="00787E54" w:rsidRPr="00BF2D5F" w:rsidRDefault="00787E54" w:rsidP="00787E54">
      <w:pPr>
        <w:pStyle w:val="NormalHanging12a"/>
      </w:pPr>
      <w:r w:rsidRPr="00BF2D5F">
        <w:t>–</w:t>
      </w:r>
      <w:r w:rsidRPr="00BF2D5F">
        <w:tab/>
        <w:t>võttes arvesse kodukorra artiklit 79,</w:t>
      </w:r>
    </w:p>
    <w:p w14:paraId="09743F9B" w14:textId="77777777" w:rsidR="00787E54" w:rsidRPr="00BF2D5F" w:rsidRDefault="00787E54" w:rsidP="00787E54">
      <w:pPr>
        <w:pStyle w:val="NormalHanging12a"/>
      </w:pPr>
      <w:r w:rsidRPr="00BF2D5F">
        <w:t>–</w:t>
      </w:r>
      <w:r w:rsidRPr="00BF2D5F">
        <w:tab/>
        <w:t>võttes arvesse lepituskomitees osaleva Euroopa Parlamendi delegatsiooni raportit (A10-0191/2026),</w:t>
      </w:r>
    </w:p>
    <w:p w14:paraId="4BB8D056" w14:textId="77777777" w:rsidR="00787E54" w:rsidRPr="00BF2D5F" w:rsidRDefault="00787E54" w:rsidP="00787E54">
      <w:pPr>
        <w:pStyle w:val="NormalHanging12a"/>
      </w:pPr>
      <w:r w:rsidRPr="00BF2D5F">
        <w:t>1.</w:t>
      </w:r>
      <w:r w:rsidRPr="00BF2D5F">
        <w:tab/>
        <w:t>kiidab ühise teksti heaks;</w:t>
      </w:r>
    </w:p>
    <w:p w14:paraId="0C1D4179" w14:textId="77777777" w:rsidR="00787E54" w:rsidRPr="00BF2D5F" w:rsidRDefault="00787E54" w:rsidP="00787E54">
      <w:pPr>
        <w:pStyle w:val="NormalHanging12a"/>
      </w:pPr>
      <w:r w:rsidRPr="00BF2D5F">
        <w:t>2.</w:t>
      </w:r>
      <w:r w:rsidRPr="00BF2D5F">
        <w:tab/>
        <w:t>teeb presidendile ülesandeks kirjutada koos nõukogu eesistujaga seadusandlikule aktile alla vastavalt Euroopa Liidu toimimise lepingu artikli 297 lõikele 1;</w:t>
      </w:r>
    </w:p>
    <w:p w14:paraId="59656458" w14:textId="77777777" w:rsidR="00787E54" w:rsidRPr="00BF2D5F" w:rsidRDefault="00787E54" w:rsidP="00787E54">
      <w:pPr>
        <w:pStyle w:val="NormalHanging12a"/>
      </w:pPr>
      <w:r w:rsidRPr="00BF2D5F">
        <w:t>3.</w:t>
      </w:r>
      <w:r w:rsidRPr="00BF2D5F">
        <w:tab/>
        <w:t xml:space="preserve">teeb peasekretärile ülesandeks pärast kõikide menetluste nõuetekohase läbiviimise kontrollimist seadusandlikule aktile alla kirjutada ja korraldada kokkuleppel nõukogu peasekretäriga selle avaldamine </w:t>
      </w:r>
      <w:r w:rsidRPr="00BF2D5F">
        <w:rPr>
          <w:i/>
        </w:rPr>
        <w:t>Euroopa Liidu Teatajas</w:t>
      </w:r>
      <w:r w:rsidRPr="00BF2D5F">
        <w:t>;</w:t>
      </w:r>
    </w:p>
    <w:p w14:paraId="0DDAD93F" w14:textId="17C74435" w:rsidR="00E365E1" w:rsidRPr="00BF2D5F" w:rsidRDefault="00787E54" w:rsidP="00A9695B">
      <w:pPr>
        <w:pStyle w:val="NormalHanging12a"/>
      </w:pPr>
      <w:r w:rsidRPr="00BF2D5F">
        <w:t>4.</w:t>
      </w:r>
      <w:r w:rsidRPr="00BF2D5F">
        <w:tab/>
        <w:t>teeb presidendile ülesandeks edastada käesolev seadusandlik resolutsioon nõukogule ja komisjonile ning liikmesriikide parlamentidele.</w:t>
      </w:r>
    </w:p>
    <w:sectPr w:rsidR="00E365E1" w:rsidRPr="00BF2D5F" w:rsidSect="00BF2D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198AC" w14:textId="77777777" w:rsidR="00354F93" w:rsidRPr="00BF2D5F" w:rsidRDefault="00354F93">
      <w:r w:rsidRPr="00BF2D5F">
        <w:separator/>
      </w:r>
    </w:p>
  </w:endnote>
  <w:endnote w:type="continuationSeparator" w:id="0">
    <w:p w14:paraId="070E8B37" w14:textId="77777777" w:rsidR="00354F93" w:rsidRPr="00BF2D5F" w:rsidRDefault="00354F93">
      <w:r w:rsidRPr="00BF2D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DD87" w14:textId="77777777" w:rsidR="00064002" w:rsidRPr="00BF2D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7EEC" w14:textId="77777777" w:rsidR="00064002" w:rsidRPr="00BF2D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9919C" w14:textId="77777777" w:rsidR="00064002" w:rsidRPr="00BF2D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6BF09" w14:textId="77777777" w:rsidR="00354F93" w:rsidRPr="00BF2D5F" w:rsidRDefault="00354F93">
      <w:r w:rsidRPr="00BF2D5F">
        <w:separator/>
      </w:r>
    </w:p>
  </w:footnote>
  <w:footnote w:type="continuationSeparator" w:id="0">
    <w:p w14:paraId="7260CA43" w14:textId="77777777" w:rsidR="00354F93" w:rsidRPr="00BF2D5F" w:rsidRDefault="00354F93">
      <w:r w:rsidRPr="00BF2D5F">
        <w:continuationSeparator/>
      </w:r>
    </w:p>
  </w:footnote>
  <w:footnote w:id="1">
    <w:p w14:paraId="700149A5" w14:textId="50B9827B" w:rsidR="00787E54" w:rsidRPr="00BF2D5F" w:rsidRDefault="00787E54" w:rsidP="00BF2D5F">
      <w:pPr>
        <w:pStyle w:val="FootnoteText"/>
        <w:ind w:left="567" w:hanging="567"/>
        <w:rPr>
          <w:sz w:val="24"/>
          <w:lang w:val="et-EE"/>
        </w:rPr>
      </w:pPr>
      <w:r w:rsidRPr="00BF2D5F">
        <w:rPr>
          <w:rStyle w:val="FootnoteReference"/>
          <w:sz w:val="24"/>
          <w:lang w:val="et-EE"/>
        </w:rPr>
        <w:footnoteRef/>
      </w:r>
      <w:r w:rsidR="00BF2D5F" w:rsidRPr="00BF2D5F">
        <w:rPr>
          <w:sz w:val="24"/>
          <w:lang w:val="et-EE"/>
        </w:rPr>
        <w:t xml:space="preserve"> </w:t>
      </w:r>
      <w:r w:rsidR="00BF2D5F" w:rsidRPr="00BF2D5F">
        <w:rPr>
          <w:sz w:val="24"/>
          <w:lang w:val="et-EE"/>
        </w:rPr>
        <w:tab/>
      </w:r>
      <w:r w:rsidRPr="00BF2D5F">
        <w:rPr>
          <w:sz w:val="24"/>
          <w:lang w:val="et-EE"/>
        </w:rPr>
        <w:t xml:space="preserve">ELT C 327, 12.11.2013, ELI: </w:t>
      </w:r>
      <w:hyperlink r:id="rId1" w:history="1">
        <w:r w:rsidRPr="00BF2D5F">
          <w:rPr>
            <w:rStyle w:val="Hyperlink"/>
            <w:sz w:val="24"/>
            <w:lang w:val="et-EE"/>
          </w:rPr>
          <w:t>https://eur-https://eur-lex.europa.eu/legal-content/et/TXT/?uri=celex:52013AE2576</w:t>
        </w:r>
      </w:hyperlink>
      <w:r w:rsidRPr="00BF2D5F">
        <w:rPr>
          <w:sz w:val="24"/>
          <w:lang w:val="et-EE"/>
        </w:rPr>
        <w:t>.</w:t>
      </w:r>
    </w:p>
  </w:footnote>
  <w:footnote w:id="2">
    <w:p w14:paraId="7C733AF2" w14:textId="7252D7DF" w:rsidR="00787E54" w:rsidRPr="00BF2D5F" w:rsidRDefault="00787E54" w:rsidP="00BF2D5F">
      <w:pPr>
        <w:pStyle w:val="FootnoteText"/>
        <w:ind w:left="567" w:hanging="567"/>
        <w:rPr>
          <w:sz w:val="24"/>
          <w:lang w:val="et-EE"/>
        </w:rPr>
      </w:pPr>
      <w:r w:rsidRPr="00BF2D5F">
        <w:rPr>
          <w:rStyle w:val="FootnoteReference"/>
          <w:sz w:val="24"/>
          <w:lang w:val="et-EE"/>
        </w:rPr>
        <w:footnoteRef/>
      </w:r>
      <w:r w:rsidR="00BF2D5F" w:rsidRPr="00BF2D5F">
        <w:rPr>
          <w:sz w:val="24"/>
          <w:lang w:val="et-EE"/>
        </w:rPr>
        <w:t xml:space="preserve"> </w:t>
      </w:r>
      <w:r w:rsidR="00BF2D5F" w:rsidRPr="00BF2D5F">
        <w:rPr>
          <w:sz w:val="24"/>
          <w:lang w:val="et-EE"/>
        </w:rPr>
        <w:tab/>
      </w:r>
      <w:r w:rsidRPr="00BF2D5F">
        <w:rPr>
          <w:sz w:val="24"/>
          <w:lang w:val="et-EE"/>
        </w:rPr>
        <w:t xml:space="preserve">ELT C 93, 24.3.2017, ELI: </w:t>
      </w:r>
      <w:hyperlink r:id="rId2" w:history="1">
        <w:r w:rsidRPr="00BF2D5F">
          <w:rPr>
            <w:rStyle w:val="Hyperlink"/>
            <w:sz w:val="24"/>
            <w:lang w:val="et-EE"/>
          </w:rPr>
          <w:t>https://eur-lex.europa.eu/legal-content/ET/TXT/?uri=celex%3A52014AP0092</w:t>
        </w:r>
      </w:hyperlink>
      <w:r w:rsidRPr="00BF2D5F">
        <w:rPr>
          <w:sz w:val="24"/>
          <w:lang w:val="et-EE"/>
        </w:rPr>
        <w:t xml:space="preserve"> / Vastuvõetud tekstid, 5.2.2014, P7_TA(2014)0092.</w:t>
      </w:r>
    </w:p>
  </w:footnote>
  <w:footnote w:id="3">
    <w:p w14:paraId="6BA9476E" w14:textId="4CE8FFAE" w:rsidR="00787E54" w:rsidRPr="00BF2D5F" w:rsidRDefault="00787E54" w:rsidP="00BF2D5F">
      <w:pPr>
        <w:pStyle w:val="FootnoteText"/>
        <w:ind w:left="567" w:hanging="567"/>
        <w:rPr>
          <w:sz w:val="24"/>
          <w:lang w:val="et-EE"/>
        </w:rPr>
      </w:pPr>
      <w:r w:rsidRPr="00BF2D5F">
        <w:rPr>
          <w:rStyle w:val="FootnoteReference"/>
          <w:sz w:val="24"/>
          <w:lang w:val="et-EE"/>
        </w:rPr>
        <w:footnoteRef/>
      </w:r>
      <w:r w:rsidR="00BF2D5F" w:rsidRPr="00BF2D5F">
        <w:rPr>
          <w:sz w:val="24"/>
          <w:lang w:val="et-EE"/>
        </w:rPr>
        <w:t xml:space="preserve"> </w:t>
      </w:r>
      <w:r w:rsidR="00BF2D5F" w:rsidRPr="00BF2D5F">
        <w:rPr>
          <w:sz w:val="24"/>
          <w:lang w:val="et-EE"/>
        </w:rPr>
        <w:tab/>
      </w:r>
      <w:r w:rsidRPr="00BF2D5F">
        <w:rPr>
          <w:sz w:val="24"/>
          <w:lang w:val="et-EE"/>
        </w:rPr>
        <w:t>Vastuvõetud tekstid</w:t>
      </w:r>
      <w:r w:rsidR="00A9695B">
        <w:rPr>
          <w:sz w:val="24"/>
          <w:lang w:val="et-EE"/>
        </w:rPr>
        <w:t>,</w:t>
      </w:r>
      <w:r w:rsidRPr="00BF2D5F">
        <w:rPr>
          <w:sz w:val="24"/>
          <w:lang w:val="et-EE"/>
        </w:rPr>
        <w:t xml:space="preserve"> 21.1.2026, P10_TA(2026)0009.</w:t>
      </w:r>
    </w:p>
  </w:footnote>
  <w:footnote w:id="4">
    <w:p w14:paraId="582627FE" w14:textId="60039ABD" w:rsidR="00787E54" w:rsidRPr="00BF2D5F" w:rsidRDefault="00787E54" w:rsidP="00BF2D5F">
      <w:pPr>
        <w:pStyle w:val="FootnoteText"/>
        <w:ind w:left="567" w:hanging="567"/>
        <w:rPr>
          <w:sz w:val="24"/>
          <w:lang w:val="et-EE"/>
        </w:rPr>
      </w:pPr>
      <w:r w:rsidRPr="00BF2D5F">
        <w:rPr>
          <w:rStyle w:val="FootnoteReference"/>
          <w:sz w:val="24"/>
          <w:lang w:val="et-EE"/>
        </w:rPr>
        <w:footnoteRef/>
      </w:r>
      <w:r w:rsidR="00BF2D5F" w:rsidRPr="00BF2D5F">
        <w:rPr>
          <w:sz w:val="24"/>
          <w:lang w:val="et-EE"/>
        </w:rPr>
        <w:t xml:space="preserve"> </w:t>
      </w:r>
      <w:r w:rsidR="00BF2D5F" w:rsidRPr="00BF2D5F">
        <w:rPr>
          <w:sz w:val="24"/>
          <w:lang w:val="et-EE"/>
        </w:rPr>
        <w:tab/>
      </w:r>
      <w:r w:rsidRPr="00BF2D5F">
        <w:rPr>
          <w:sz w:val="24"/>
          <w:lang w:val="et-EE"/>
        </w:rPr>
        <w:t xml:space="preserve">ELT C, C/2025/5782, 30.10.2025, ELI: </w:t>
      </w:r>
      <w:hyperlink r:id="rId3" w:history="1">
        <w:r w:rsidRPr="00BF2D5F">
          <w:rPr>
            <w:rStyle w:val="Hyperlink"/>
            <w:sz w:val="24"/>
            <w:lang w:val="et-EE"/>
          </w:rPr>
          <w:t>https://eur-lex.europa.eu/legal-content/ET/TXT/?uri=celex%3A52025AG0010%2801%29</w:t>
        </w:r>
      </w:hyperlink>
      <w:r w:rsidRPr="00BF2D5F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B423" w14:textId="77777777" w:rsidR="00064002" w:rsidRPr="00BF2D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0B646" w14:textId="77777777" w:rsidR="00064002" w:rsidRPr="00BF2D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3559" w14:textId="77777777" w:rsidR="00064002" w:rsidRPr="00BF2D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2632026">
    <w:abstractNumId w:val="9"/>
  </w:num>
  <w:num w:numId="2" w16cid:durableId="1021397538">
    <w:abstractNumId w:val="9"/>
  </w:num>
  <w:num w:numId="3" w16cid:durableId="464855486">
    <w:abstractNumId w:val="7"/>
  </w:num>
  <w:num w:numId="4" w16cid:durableId="761414740">
    <w:abstractNumId w:val="7"/>
  </w:num>
  <w:num w:numId="5" w16cid:durableId="559633026">
    <w:abstractNumId w:val="6"/>
  </w:num>
  <w:num w:numId="6" w16cid:durableId="1590775150">
    <w:abstractNumId w:val="6"/>
  </w:num>
  <w:num w:numId="7" w16cid:durableId="2059353416">
    <w:abstractNumId w:val="5"/>
  </w:num>
  <w:num w:numId="8" w16cid:durableId="1578057898">
    <w:abstractNumId w:val="5"/>
  </w:num>
  <w:num w:numId="9" w16cid:durableId="539129693">
    <w:abstractNumId w:val="4"/>
  </w:num>
  <w:num w:numId="10" w16cid:durableId="728462252">
    <w:abstractNumId w:val="4"/>
  </w:num>
  <w:num w:numId="11" w16cid:durableId="639726518">
    <w:abstractNumId w:val="8"/>
  </w:num>
  <w:num w:numId="12" w16cid:durableId="672533828">
    <w:abstractNumId w:val="8"/>
  </w:num>
  <w:num w:numId="13" w16cid:durableId="300887725">
    <w:abstractNumId w:val="3"/>
  </w:num>
  <w:num w:numId="14" w16cid:durableId="1312905982">
    <w:abstractNumId w:val="3"/>
  </w:num>
  <w:num w:numId="15" w16cid:durableId="1451362110">
    <w:abstractNumId w:val="2"/>
  </w:num>
  <w:num w:numId="16" w16cid:durableId="478301582">
    <w:abstractNumId w:val="2"/>
  </w:num>
  <w:num w:numId="17" w16cid:durableId="835532945">
    <w:abstractNumId w:val="1"/>
  </w:num>
  <w:num w:numId="18" w16cid:durableId="405032192">
    <w:abstractNumId w:val="1"/>
  </w:num>
  <w:num w:numId="19" w16cid:durableId="1670447266">
    <w:abstractNumId w:val="0"/>
  </w:num>
  <w:num w:numId="20" w16cid:durableId="789319876">
    <w:abstractNumId w:val="0"/>
  </w:num>
  <w:num w:numId="21" w16cid:durableId="992635872">
    <w:abstractNumId w:val="9"/>
  </w:num>
  <w:num w:numId="22" w16cid:durableId="203369782">
    <w:abstractNumId w:val="7"/>
  </w:num>
  <w:num w:numId="23" w16cid:durableId="1601833303">
    <w:abstractNumId w:val="6"/>
  </w:num>
  <w:num w:numId="24" w16cid:durableId="559051247">
    <w:abstractNumId w:val="5"/>
  </w:num>
  <w:num w:numId="25" w16cid:durableId="1631979818">
    <w:abstractNumId w:val="4"/>
  </w:num>
  <w:num w:numId="26" w16cid:durableId="463887799">
    <w:abstractNumId w:val="8"/>
  </w:num>
  <w:num w:numId="27" w16cid:durableId="2028943388">
    <w:abstractNumId w:val="3"/>
  </w:num>
  <w:num w:numId="28" w16cid:durableId="678167363">
    <w:abstractNumId w:val="2"/>
  </w:num>
  <w:num w:numId="29" w16cid:durableId="726612445">
    <w:abstractNumId w:val="1"/>
  </w:num>
  <w:num w:numId="30" w16cid:durableId="528495666">
    <w:abstractNumId w:val="0"/>
  </w:num>
  <w:num w:numId="31" w16cid:durableId="885487342">
    <w:abstractNumId w:val="9"/>
  </w:num>
  <w:num w:numId="32" w16cid:durableId="2067289186">
    <w:abstractNumId w:val="7"/>
  </w:num>
  <w:num w:numId="33" w16cid:durableId="1557012728">
    <w:abstractNumId w:val="6"/>
  </w:num>
  <w:num w:numId="34" w16cid:durableId="1682967143">
    <w:abstractNumId w:val="5"/>
  </w:num>
  <w:num w:numId="35" w16cid:durableId="1994406520">
    <w:abstractNumId w:val="4"/>
  </w:num>
  <w:num w:numId="36" w16cid:durableId="634680357">
    <w:abstractNumId w:val="8"/>
  </w:num>
  <w:num w:numId="37" w16cid:durableId="1675957208">
    <w:abstractNumId w:val="3"/>
  </w:num>
  <w:num w:numId="38" w16cid:durableId="1984773000">
    <w:abstractNumId w:val="2"/>
  </w:num>
  <w:num w:numId="39" w16cid:durableId="1915042586">
    <w:abstractNumId w:val="1"/>
  </w:num>
  <w:num w:numId="40" w16cid:durableId="633802034">
    <w:abstractNumId w:val="0"/>
  </w:num>
  <w:num w:numId="41" w16cid:durableId="880940197">
    <w:abstractNumId w:val="10"/>
  </w:num>
  <w:num w:numId="42" w16cid:durableId="1704863297">
    <w:abstractNumId w:val="10"/>
  </w:num>
  <w:num w:numId="43" w16cid:durableId="1211380648">
    <w:abstractNumId w:val="10"/>
  </w:num>
  <w:num w:numId="44" w16cid:durableId="8474082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6"/>
    <w:docVar w:name="dvlangue" w:val="ET"/>
    <w:docVar w:name="dvnumam" w:val="0"/>
    <w:docVar w:name="dvpe" w:val="790.161"/>
    <w:docVar w:name="dvrapporteur" w:val="Raportöör: "/>
    <w:docVar w:name="dvstar" w:val="***III"/>
    <w:docVar w:name="dvtitre" w:val="Euroopa Parlamendi .... 2026. aasta seadusandlik resolutsioon lepituskomitees heaks kiidetud ühise teksti kohta eesmärgiga võtta vastu Euroopa Parlamendi ja nõukogu määrus, millega muudetakse määrust (EÜ) nr 261/2004, millega kehtestatakse ühiseeskirjad pardale lubamisest keeldumise korral ning lendude tühistamise või pikaajalise hilinemise eest reisijatele antava hüvitise ja abi kohta, ning määrust (EÜ) nr 2027/97 lennuettevõtja vastutuse kohta reisijate ja nende pagasi õhuveol(PE-CONS 00039/2026 – C10-0144/2026 – 2013/0072(COD))"/>
  </w:docVars>
  <w:rsids>
    <w:rsidRoot w:val="00354F93"/>
    <w:rsid w:val="00002272"/>
    <w:rsid w:val="00064002"/>
    <w:rsid w:val="000677B9"/>
    <w:rsid w:val="000831BA"/>
    <w:rsid w:val="000A42CC"/>
    <w:rsid w:val="000E7DD9"/>
    <w:rsid w:val="0010095E"/>
    <w:rsid w:val="00123C7F"/>
    <w:rsid w:val="00125B37"/>
    <w:rsid w:val="00187494"/>
    <w:rsid w:val="001F32AE"/>
    <w:rsid w:val="002767FF"/>
    <w:rsid w:val="002B18FE"/>
    <w:rsid w:val="002B5493"/>
    <w:rsid w:val="00343214"/>
    <w:rsid w:val="00354F93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5B1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E5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678"/>
    <w:rsid w:val="00981893"/>
    <w:rsid w:val="00A1687D"/>
    <w:rsid w:val="00A43E52"/>
    <w:rsid w:val="00A4678D"/>
    <w:rsid w:val="00A64234"/>
    <w:rsid w:val="00A778C7"/>
    <w:rsid w:val="00A9695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D5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D21B92"/>
  <w15:chartTrackingRefBased/>
  <w15:docId w15:val="{D5CAF590-425B-4FC7-8817-7990E7DE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87E54"/>
    <w:pPr>
      <w:spacing w:before="480" w:after="240"/>
    </w:pPr>
  </w:style>
  <w:style w:type="paragraph" w:customStyle="1" w:styleId="NormalBold">
    <w:name w:val="NormalBold"/>
    <w:basedOn w:val="Normal"/>
    <w:rsid w:val="00787E54"/>
    <w:rPr>
      <w:b/>
    </w:rPr>
  </w:style>
  <w:style w:type="paragraph" w:customStyle="1" w:styleId="NormalHanging12a">
    <w:name w:val="NormalHanging12a"/>
    <w:basedOn w:val="Normal"/>
    <w:rsid w:val="00787E54"/>
    <w:pPr>
      <w:spacing w:after="240"/>
      <w:ind w:left="567" w:hanging="567"/>
    </w:pPr>
  </w:style>
  <w:style w:type="character" w:styleId="Hyperlink">
    <w:name w:val="Hyperlink"/>
    <w:basedOn w:val="DefaultParagraphFont"/>
    <w:rsid w:val="00787E5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9695B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ET/TXT/?uri=celex%3A52025AG0010%2801%29" TargetMode="External"/><Relationship Id="rId2" Type="http://schemas.openxmlformats.org/officeDocument/2006/relationships/hyperlink" Target="https://eur-lex.europa.eu/legal-content/ET/TXT/?uri=celex%3A52014AP0092" TargetMode="External"/><Relationship Id="rId1" Type="http://schemas.openxmlformats.org/officeDocument/2006/relationships/hyperlink" Target="https://eur-lex.europa.eu/legal-content/et/TXT/?uri=celex:52013AE25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2029</Characters>
  <Application>Microsoft Office Word</Application>
  <DocSecurity>0</DocSecurity>
  <Lines>42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2026-07-07T11:55:00Z</dcterms:created>
  <dcterms:modified xsi:type="dcterms:W3CDTF">2026-07-07T11:55:00Z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A10-0191/2026</vt:lpwstr>
  </property>
  <property fmtid="{D5CDD505-2E9C-101B-9397-08002B2CF9AE}" pid="4" name="&lt;Type&gt;">
    <vt:lpwstr>RR</vt:lpwstr>
  </property>
</Properties>
</file>