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B01C0B" w14:paraId="39F050A0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C1897DC" w14:textId="77777777" w:rsidR="00751A4A" w:rsidRPr="00B01C0B" w:rsidRDefault="00880C28" w:rsidP="0010095E">
            <w:pPr>
              <w:pStyle w:val="EPName"/>
            </w:pPr>
            <w:r w:rsidRPr="00B01C0B">
              <w:t>Europski parlament</w:t>
            </w:r>
          </w:p>
          <w:p w14:paraId="16869456" w14:textId="77777777" w:rsidR="00751A4A" w:rsidRPr="00B01C0B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01C0B">
              <w:t>2024</w:t>
            </w:r>
            <w:r w:rsidR="00817416" w:rsidRPr="00B01C0B">
              <w:t>-202</w:t>
            </w:r>
            <w:r w:rsidRPr="00B01C0B">
              <w:t>9</w:t>
            </w:r>
          </w:p>
        </w:tc>
        <w:tc>
          <w:tcPr>
            <w:tcW w:w="2268" w:type="dxa"/>
            <w:shd w:val="clear" w:color="auto" w:fill="auto"/>
          </w:tcPr>
          <w:p w14:paraId="43F570AC" w14:textId="77777777" w:rsidR="00751A4A" w:rsidRPr="00B01C0B" w:rsidRDefault="00187494" w:rsidP="0010095E">
            <w:pPr>
              <w:pStyle w:val="EPLogo"/>
            </w:pPr>
            <w:r w:rsidRPr="00B01C0B">
              <w:rPr>
                <w:noProof/>
                <w:lang w:eastAsia="ja-JP"/>
              </w:rPr>
              <w:drawing>
                <wp:inline distT="0" distB="0" distL="0" distR="0" wp14:anchorId="25B0F36E" wp14:editId="107794DC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51D14E" w14:textId="77777777" w:rsidR="00D058B8" w:rsidRPr="00B01C0B" w:rsidRDefault="00D058B8" w:rsidP="004C5D52">
      <w:pPr>
        <w:pStyle w:val="LineTop"/>
      </w:pPr>
    </w:p>
    <w:p w14:paraId="04D78C9C" w14:textId="77777777" w:rsidR="00680577" w:rsidRPr="00B01C0B" w:rsidRDefault="00880C28" w:rsidP="00680577">
      <w:pPr>
        <w:pStyle w:val="EPBodyTA1"/>
      </w:pPr>
      <w:r w:rsidRPr="00B01C0B">
        <w:t>USVOJENI TEKSTOVI</w:t>
      </w:r>
    </w:p>
    <w:p w14:paraId="5C39E608" w14:textId="77777777" w:rsidR="00D058B8" w:rsidRPr="00B01C0B" w:rsidRDefault="00D058B8" w:rsidP="00D058B8">
      <w:pPr>
        <w:pStyle w:val="LineBottom"/>
      </w:pPr>
    </w:p>
    <w:p w14:paraId="343AA4F0" w14:textId="60B561A4" w:rsidR="00880C28" w:rsidRPr="00B01C0B" w:rsidRDefault="00880C28" w:rsidP="00880C28">
      <w:pPr>
        <w:pStyle w:val="ATHeading1"/>
      </w:pPr>
      <w:bookmarkStart w:id="0" w:name="TANumber"/>
      <w:r w:rsidRPr="00B01C0B">
        <w:t>P10_TA(2026)0</w:t>
      </w:r>
      <w:r w:rsidR="007F6E6D">
        <w:t>238</w:t>
      </w:r>
      <w:bookmarkEnd w:id="0"/>
    </w:p>
    <w:p w14:paraId="48D65178" w14:textId="77777777" w:rsidR="00880C28" w:rsidRPr="00B01C0B" w:rsidRDefault="00880C28" w:rsidP="00880C28">
      <w:pPr>
        <w:pStyle w:val="ATHeading2"/>
      </w:pPr>
      <w:bookmarkStart w:id="1" w:name="title"/>
      <w:r w:rsidRPr="00B01C0B">
        <w:t>Prava putnika u zračnom prometu</w:t>
      </w:r>
      <w:bookmarkEnd w:id="1"/>
    </w:p>
    <w:p w14:paraId="610050F8" w14:textId="77777777" w:rsidR="00880C28" w:rsidRPr="00B01C0B" w:rsidRDefault="00880C28" w:rsidP="00880C28">
      <w:pPr>
        <w:rPr>
          <w:i/>
          <w:vanish/>
        </w:rPr>
      </w:pPr>
      <w:r w:rsidRPr="00B01C0B">
        <w:rPr>
          <w:i/>
        </w:rPr>
        <w:fldChar w:fldCharType="begin"/>
      </w:r>
      <w:r w:rsidRPr="00B01C0B">
        <w:rPr>
          <w:i/>
        </w:rPr>
        <w:instrText xml:space="preserve"> TC"(</w:instrText>
      </w:r>
      <w:bookmarkStart w:id="2" w:name="DocNumber"/>
      <w:r w:rsidRPr="00B01C0B">
        <w:rPr>
          <w:i/>
        </w:rPr>
        <w:instrText>A10-0191/2026</w:instrText>
      </w:r>
      <w:bookmarkEnd w:id="2"/>
      <w:r w:rsidRPr="00B01C0B">
        <w:rPr>
          <w:i/>
        </w:rPr>
        <w:instrText xml:space="preserve"> - Izvjestiteljica: Roberta </w:instrText>
      </w:r>
      <w:proofErr w:type="spellStart"/>
      <w:r w:rsidRPr="00B01C0B">
        <w:rPr>
          <w:i/>
        </w:rPr>
        <w:instrText>Metsola</w:instrText>
      </w:r>
      <w:proofErr w:type="spellEnd"/>
      <w:r w:rsidRPr="00B01C0B">
        <w:rPr>
          <w:i/>
        </w:rPr>
        <w:instrText xml:space="preserve">)"\l3 \n&gt; \* MERGEFORMAT </w:instrText>
      </w:r>
      <w:r w:rsidRPr="00B01C0B">
        <w:rPr>
          <w:i/>
        </w:rPr>
        <w:fldChar w:fldCharType="end"/>
      </w:r>
    </w:p>
    <w:p w14:paraId="642F14E8" w14:textId="77777777" w:rsidR="00880C28" w:rsidRPr="00B01C0B" w:rsidRDefault="00880C28" w:rsidP="00880C28">
      <w:pPr>
        <w:rPr>
          <w:vanish/>
        </w:rPr>
      </w:pPr>
      <w:bookmarkStart w:id="3" w:name="Commission"/>
      <w:r w:rsidRPr="00B01C0B">
        <w:rPr>
          <w:vanish/>
        </w:rPr>
        <w:t>Izaslanstvo Europskog parlamenta u Odboru za mirenje</w:t>
      </w:r>
      <w:bookmarkEnd w:id="3"/>
    </w:p>
    <w:p w14:paraId="7D41E7D0" w14:textId="77777777" w:rsidR="00880C28" w:rsidRPr="00B01C0B" w:rsidRDefault="00880C28" w:rsidP="00880C28">
      <w:pPr>
        <w:rPr>
          <w:vanish/>
        </w:rPr>
      </w:pPr>
      <w:bookmarkStart w:id="4" w:name="PE"/>
      <w:r w:rsidRPr="00B01C0B">
        <w:rPr>
          <w:vanish/>
        </w:rPr>
        <w:t>PE790.161</w:t>
      </w:r>
      <w:bookmarkEnd w:id="4"/>
    </w:p>
    <w:p w14:paraId="6467071A" w14:textId="702481F4" w:rsidR="00880C28" w:rsidRPr="00B01C0B" w:rsidRDefault="00880C28" w:rsidP="00880C28">
      <w:pPr>
        <w:pStyle w:val="ATHeading3"/>
      </w:pPr>
      <w:bookmarkStart w:id="5" w:name="Sujet"/>
      <w:r w:rsidRPr="00B01C0B">
        <w:t xml:space="preserve">Zakonodavna rezolucija Europskog parlamenta od </w:t>
      </w:r>
      <w:r w:rsidR="00B01C0B">
        <w:t>7</w:t>
      </w:r>
      <w:r w:rsidRPr="00B01C0B">
        <w:t xml:space="preserve">. </w:t>
      </w:r>
      <w:r w:rsidR="00B01C0B">
        <w:t xml:space="preserve">srpnja </w:t>
      </w:r>
      <w:r w:rsidRPr="00B01C0B">
        <w:t>2026. o zajedničkom tekstu Uredbe Europskog parlamenta i Vijeća o izmjeni Uredbe (EZ) br. 261/2004 o utvrđivanju općih pravila o naknadi i pomoći putnicima u slučaju uskraćenog ukrcaja i otkazivanja ili dužeg kašnjenja letova i Uredbe (EZ) br. 2027/97 o odgovornosti zračnih prijevoznika u pogledu zračnog prijevoza putnika i njihove prtljage, koji je odobrio Odbor za mirenje</w:t>
      </w:r>
      <w:bookmarkEnd w:id="5"/>
      <w:r w:rsidRPr="00B01C0B">
        <w:t xml:space="preserve"> </w:t>
      </w:r>
      <w:bookmarkStart w:id="6" w:name="References"/>
      <w:r w:rsidRPr="00B01C0B">
        <w:t>(PE-CONS 00039/2026 – C10-0144/2026 – 2013/0072(COD))</w:t>
      </w:r>
      <w:bookmarkEnd w:id="6"/>
    </w:p>
    <w:p w14:paraId="17686C2F" w14:textId="77777777" w:rsidR="00D076C0" w:rsidRPr="00B01C0B" w:rsidRDefault="00D076C0" w:rsidP="00D076C0">
      <w:pPr>
        <w:pStyle w:val="NormalBold"/>
      </w:pPr>
      <w:r w:rsidRPr="00B01C0B">
        <w:t>(Redovni zakonodavni postupak: treće čitanje)</w:t>
      </w:r>
    </w:p>
    <w:p w14:paraId="1C0B0EEF" w14:textId="77777777" w:rsidR="00D076C0" w:rsidRPr="00B01C0B" w:rsidRDefault="00D076C0" w:rsidP="00D076C0">
      <w:pPr>
        <w:pStyle w:val="EPComma"/>
      </w:pPr>
      <w:r w:rsidRPr="00B01C0B">
        <w:rPr>
          <w:i/>
        </w:rPr>
        <w:t>Europski parlament</w:t>
      </w:r>
      <w:r w:rsidRPr="00B01C0B">
        <w:t>,</w:t>
      </w:r>
    </w:p>
    <w:p w14:paraId="6F48A1B7" w14:textId="77777777" w:rsidR="00D076C0" w:rsidRPr="00B01C0B" w:rsidRDefault="00D076C0" w:rsidP="00D076C0">
      <w:pPr>
        <w:pStyle w:val="NormalHanging12a"/>
      </w:pPr>
      <w:r w:rsidRPr="00B01C0B">
        <w:t>–</w:t>
      </w:r>
      <w:r w:rsidRPr="00B01C0B">
        <w:tab/>
        <w:t>uzimajući u obzir zajednički tekst koji je odobrio Odbor za mirenje (PE-CONS 00039/2026 – C10</w:t>
      </w:r>
      <w:r w:rsidRPr="00B01C0B">
        <w:noBreakHyphen/>
        <w:t>0144/2026),</w:t>
      </w:r>
    </w:p>
    <w:p w14:paraId="5070E0D7" w14:textId="77777777" w:rsidR="00D076C0" w:rsidRDefault="00D076C0" w:rsidP="00D076C0">
      <w:pPr>
        <w:pStyle w:val="NormalHanging12a"/>
      </w:pPr>
      <w:r w:rsidRPr="00B01C0B">
        <w:t>–</w:t>
      </w:r>
      <w:r w:rsidRPr="00B01C0B">
        <w:tab/>
        <w:t>uzimajući u obzir mišljenje Europskoga gospodarskog i socijalnog odbora od 11. srpnja 2013.</w:t>
      </w:r>
      <w:r w:rsidRPr="00B01C0B">
        <w:rPr>
          <w:rStyle w:val="FootnoteReference"/>
        </w:rPr>
        <w:footnoteReference w:id="1"/>
      </w:r>
      <w:r w:rsidRPr="00B01C0B">
        <w:t>,</w:t>
      </w:r>
    </w:p>
    <w:p w14:paraId="19582BA2" w14:textId="51B49ABB" w:rsidR="00B01C0B" w:rsidRPr="00B01C0B" w:rsidRDefault="00B01C0B" w:rsidP="00D076C0">
      <w:pPr>
        <w:pStyle w:val="NormalHanging12a"/>
      </w:pPr>
      <w:r w:rsidRPr="00B01C0B">
        <w:t>–</w:t>
      </w:r>
      <w:r w:rsidRPr="00B01C0B">
        <w:tab/>
      </w:r>
      <w:r>
        <w:t>nakon savjetovanja s Odborom regija,</w:t>
      </w:r>
    </w:p>
    <w:p w14:paraId="156E7F96" w14:textId="505E9FD5" w:rsidR="00D076C0" w:rsidRPr="00B01C0B" w:rsidRDefault="00D076C0" w:rsidP="00D076C0">
      <w:pPr>
        <w:pStyle w:val="NormalHanging12a"/>
      </w:pPr>
      <w:r w:rsidRPr="00B01C0B">
        <w:t>–</w:t>
      </w:r>
      <w:r w:rsidRPr="00B01C0B">
        <w:tab/>
        <w:t xml:space="preserve">uzimajući u obzir </w:t>
      </w:r>
      <w:r w:rsidR="00B01C0B">
        <w:t xml:space="preserve">svoje </w:t>
      </w:r>
      <w:r w:rsidRPr="00B01C0B">
        <w:t>stajalište u prvom čitanju</w:t>
      </w:r>
      <w:r w:rsidRPr="00B01C0B">
        <w:rPr>
          <w:rStyle w:val="FootnoteReference"/>
        </w:rPr>
        <w:footnoteReference w:id="2"/>
      </w:r>
      <w:r w:rsidRPr="00B01C0B">
        <w:t xml:space="preserve"> o Prijedlogu Komisije upućenom Europskom parlamentu i Vijeću (COM(2013)0130),</w:t>
      </w:r>
    </w:p>
    <w:p w14:paraId="4B214B0C" w14:textId="41E1F0EE" w:rsidR="00D076C0" w:rsidRPr="00B01C0B" w:rsidRDefault="00D076C0" w:rsidP="00D076C0">
      <w:pPr>
        <w:pStyle w:val="NormalHanging12a"/>
      </w:pPr>
      <w:r w:rsidRPr="00B01C0B">
        <w:t>–</w:t>
      </w:r>
      <w:r w:rsidRPr="00B01C0B">
        <w:tab/>
        <w:t xml:space="preserve">uzimajući u obzir </w:t>
      </w:r>
      <w:r w:rsidR="00E2291A">
        <w:t xml:space="preserve">svoje </w:t>
      </w:r>
      <w:r w:rsidRPr="00B01C0B">
        <w:t>stajalište u drugom čitanju</w:t>
      </w:r>
      <w:r w:rsidRPr="00B01C0B">
        <w:rPr>
          <w:rStyle w:val="FootnoteReference"/>
        </w:rPr>
        <w:footnoteReference w:id="3"/>
      </w:r>
      <w:r w:rsidRPr="00B01C0B">
        <w:t xml:space="preserve"> o stajalištu Vijeća u prvom čitanju</w:t>
      </w:r>
      <w:r w:rsidRPr="00B01C0B">
        <w:rPr>
          <w:rStyle w:val="FootnoteReference"/>
        </w:rPr>
        <w:footnoteReference w:id="4"/>
      </w:r>
      <w:r w:rsidRPr="00B01C0B">
        <w:t>,</w:t>
      </w:r>
    </w:p>
    <w:p w14:paraId="5748F5FB" w14:textId="77777777" w:rsidR="00D076C0" w:rsidRPr="00B01C0B" w:rsidRDefault="00D076C0" w:rsidP="00D076C0">
      <w:pPr>
        <w:pStyle w:val="NormalHanging12a"/>
      </w:pPr>
      <w:r w:rsidRPr="00B01C0B">
        <w:t>–</w:t>
      </w:r>
      <w:r w:rsidRPr="00B01C0B">
        <w:tab/>
        <w:t>uzimajući u obzir mišljenje Komisije o amandmanima Europskog parlamenta na stajalište Vijeća u prvom čitanju (COM(2026)0129),</w:t>
      </w:r>
    </w:p>
    <w:p w14:paraId="25118A3B" w14:textId="77777777" w:rsidR="00D076C0" w:rsidRPr="00B01C0B" w:rsidRDefault="00D076C0" w:rsidP="00D076C0">
      <w:pPr>
        <w:pStyle w:val="NormalHanging12a"/>
      </w:pPr>
      <w:r w:rsidRPr="00B01C0B">
        <w:lastRenderedPageBreak/>
        <w:t>–</w:t>
      </w:r>
      <w:r w:rsidRPr="00B01C0B">
        <w:tab/>
        <w:t>uzimajući u obzir stajalište Vijeća u drugom čitanju,</w:t>
      </w:r>
    </w:p>
    <w:p w14:paraId="2CF0D06D" w14:textId="77777777" w:rsidR="00D076C0" w:rsidRPr="00B01C0B" w:rsidRDefault="00D076C0" w:rsidP="00D076C0">
      <w:pPr>
        <w:pStyle w:val="NormalHanging12a"/>
      </w:pPr>
      <w:r w:rsidRPr="00B01C0B">
        <w:t>–</w:t>
      </w:r>
      <w:r w:rsidRPr="00B01C0B">
        <w:tab/>
        <w:t>uzimajući u obzir članak 294. stavak 13. Ugovora o funkcioniranju Europske unije,</w:t>
      </w:r>
    </w:p>
    <w:p w14:paraId="2D78BB04" w14:textId="77777777" w:rsidR="00D076C0" w:rsidRPr="00B01C0B" w:rsidRDefault="00D076C0" w:rsidP="00D076C0">
      <w:pPr>
        <w:pStyle w:val="NormalHanging12a"/>
      </w:pPr>
      <w:r w:rsidRPr="00B01C0B">
        <w:t>–</w:t>
      </w:r>
      <w:r w:rsidRPr="00B01C0B">
        <w:tab/>
        <w:t>uzimajući u obzir članak 79. Poslovnika,</w:t>
      </w:r>
    </w:p>
    <w:p w14:paraId="0BAB64FE" w14:textId="77777777" w:rsidR="00D076C0" w:rsidRPr="00B01C0B" w:rsidRDefault="00D076C0" w:rsidP="00D076C0">
      <w:pPr>
        <w:pStyle w:val="NormalHanging12a"/>
      </w:pPr>
      <w:r w:rsidRPr="00B01C0B">
        <w:t>–</w:t>
      </w:r>
      <w:r w:rsidRPr="00B01C0B">
        <w:tab/>
        <w:t>uzimajući u obzir izvješće izaslanstva u Odboru za mirenje (A10-0191/2026),</w:t>
      </w:r>
    </w:p>
    <w:p w14:paraId="494E2443" w14:textId="77777777" w:rsidR="00D076C0" w:rsidRPr="00B01C0B" w:rsidRDefault="00D076C0" w:rsidP="00D076C0">
      <w:pPr>
        <w:pStyle w:val="NormalHanging12a"/>
      </w:pPr>
      <w:r w:rsidRPr="00B01C0B">
        <w:t>1.</w:t>
      </w:r>
      <w:r w:rsidRPr="00B01C0B">
        <w:tab/>
        <w:t>odobrava zajednički tekst;</w:t>
      </w:r>
    </w:p>
    <w:p w14:paraId="55D1FCD3" w14:textId="77777777" w:rsidR="00D076C0" w:rsidRPr="00B01C0B" w:rsidRDefault="00D076C0" w:rsidP="00D076C0">
      <w:pPr>
        <w:pStyle w:val="NormalHanging12a"/>
      </w:pPr>
      <w:r w:rsidRPr="00B01C0B">
        <w:t>2.</w:t>
      </w:r>
      <w:r w:rsidRPr="00B01C0B">
        <w:tab/>
        <w:t>nalaže svojoj predsjednici da potpiše akt s predsjednikom Vijeća u skladu s člankom 297. stavkom 1. Ugovora o funkcioniranju Europske unije;</w:t>
      </w:r>
    </w:p>
    <w:p w14:paraId="73DD065D" w14:textId="49288A19" w:rsidR="00D076C0" w:rsidRPr="00B01C0B" w:rsidRDefault="00D076C0" w:rsidP="00D076C0">
      <w:pPr>
        <w:pStyle w:val="NormalHanging12a"/>
      </w:pPr>
      <w:r w:rsidRPr="00B01C0B">
        <w:t>3.</w:t>
      </w:r>
      <w:r w:rsidRPr="00B01C0B">
        <w:tab/>
        <w:t xml:space="preserve">nalaže svojem glavnom tajniku da potpiše akt nakon </w:t>
      </w:r>
      <w:r w:rsidR="00F84C64">
        <w:t xml:space="preserve">što </w:t>
      </w:r>
      <w:r w:rsidRPr="00B01C0B">
        <w:t>provjer</w:t>
      </w:r>
      <w:r w:rsidR="00F84C64">
        <w:t>i</w:t>
      </w:r>
      <w:r w:rsidRPr="00B01C0B">
        <w:t xml:space="preserve"> jesu li svi postupci propisno zaključeni te da ga u dogovoru s glavnom tajnicom Vijeća da na objavu u </w:t>
      </w:r>
      <w:r w:rsidRPr="00B01C0B">
        <w:rPr>
          <w:i/>
        </w:rPr>
        <w:t>Službenom listu Europske unije</w:t>
      </w:r>
      <w:r w:rsidRPr="00B01C0B">
        <w:t>;</w:t>
      </w:r>
    </w:p>
    <w:p w14:paraId="014A0437" w14:textId="16FCCF3D" w:rsidR="00E34287" w:rsidRPr="00B01C0B" w:rsidRDefault="00D076C0" w:rsidP="00E34287">
      <w:pPr>
        <w:pStyle w:val="NormalHanging12a"/>
      </w:pPr>
      <w:r w:rsidRPr="00B01C0B">
        <w:t>4.</w:t>
      </w:r>
      <w:r w:rsidRPr="00B01C0B">
        <w:tab/>
        <w:t>nalaže svojoj predsjednici da ovu Zakonodavnu rezoluciju proslijedi Vijeću, Komisiji i nacionalnim parlamentima.</w:t>
      </w:r>
    </w:p>
    <w:p w14:paraId="74C526D4" w14:textId="2DB5A8C4" w:rsidR="00E365E1" w:rsidRPr="00B01C0B" w:rsidRDefault="00E365E1" w:rsidP="00880C28"/>
    <w:sectPr w:rsidR="00E365E1" w:rsidRPr="00B01C0B" w:rsidSect="00E3428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157E4" w14:textId="77777777" w:rsidR="00880C28" w:rsidRPr="00E34287" w:rsidRDefault="00880C28">
      <w:r w:rsidRPr="00E34287">
        <w:separator/>
      </w:r>
    </w:p>
  </w:endnote>
  <w:endnote w:type="continuationSeparator" w:id="0">
    <w:p w14:paraId="755F32C7" w14:textId="77777777" w:rsidR="00880C28" w:rsidRPr="00E34287" w:rsidRDefault="00880C28">
      <w:r w:rsidRPr="00E3428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6B235" w14:textId="77777777" w:rsidR="00064002" w:rsidRPr="00E34287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2E434" w14:textId="77777777" w:rsidR="00064002" w:rsidRPr="00E34287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22CE1" w14:textId="77777777" w:rsidR="00064002" w:rsidRPr="00E34287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D2A6B" w14:textId="77777777" w:rsidR="00880C28" w:rsidRPr="00E34287" w:rsidRDefault="00880C28">
      <w:r w:rsidRPr="00E34287">
        <w:separator/>
      </w:r>
    </w:p>
  </w:footnote>
  <w:footnote w:type="continuationSeparator" w:id="0">
    <w:p w14:paraId="2B989FF3" w14:textId="77777777" w:rsidR="00880C28" w:rsidRPr="00E34287" w:rsidRDefault="00880C28">
      <w:r w:rsidRPr="00E34287">
        <w:continuationSeparator/>
      </w:r>
    </w:p>
  </w:footnote>
  <w:footnote w:id="1">
    <w:p w14:paraId="33517701" w14:textId="148709C2" w:rsidR="00D076C0" w:rsidRPr="00E34287" w:rsidRDefault="00D076C0" w:rsidP="00E34287">
      <w:pPr>
        <w:pStyle w:val="FootnoteText"/>
        <w:ind w:left="567" w:hanging="567"/>
        <w:rPr>
          <w:sz w:val="24"/>
          <w:lang w:val="hr-HR"/>
        </w:rPr>
      </w:pPr>
      <w:r w:rsidRPr="00E34287">
        <w:rPr>
          <w:rStyle w:val="FootnoteReference"/>
          <w:sz w:val="24"/>
          <w:lang w:val="hr-HR"/>
        </w:rPr>
        <w:footnoteRef/>
      </w:r>
      <w:r w:rsidR="00E34287" w:rsidRPr="00E34287">
        <w:rPr>
          <w:sz w:val="24"/>
          <w:lang w:val="hr-HR"/>
        </w:rPr>
        <w:t xml:space="preserve"> </w:t>
      </w:r>
      <w:r w:rsidR="00E34287" w:rsidRPr="00E34287">
        <w:rPr>
          <w:sz w:val="24"/>
          <w:lang w:val="hr-HR"/>
        </w:rPr>
        <w:tab/>
      </w:r>
      <w:r w:rsidRPr="00E34287">
        <w:rPr>
          <w:sz w:val="24"/>
          <w:lang w:val="hr-HR"/>
        </w:rPr>
        <w:t>SL C</w:t>
      </w:r>
      <w:r w:rsidR="00B01C0B">
        <w:rPr>
          <w:sz w:val="24"/>
          <w:lang w:val="hr-HR"/>
        </w:rPr>
        <w:t xml:space="preserve"> </w:t>
      </w:r>
      <w:r w:rsidRPr="00E34287">
        <w:rPr>
          <w:sz w:val="24"/>
          <w:lang w:val="hr-HR"/>
        </w:rPr>
        <w:t xml:space="preserve">327, 12.11.2013., ELI: </w:t>
      </w:r>
      <w:hyperlink r:id="rId1" w:history="1">
        <w:r w:rsidRPr="00E34287">
          <w:rPr>
            <w:rStyle w:val="Hyperlink"/>
            <w:sz w:val="24"/>
            <w:lang w:val="hr-HR"/>
          </w:rPr>
          <w:t>https://eur-lex.europa.eu/legal-content/en/TXT/?uri=celex:52013AE2576</w:t>
        </w:r>
      </w:hyperlink>
      <w:r w:rsidRPr="00E34287">
        <w:rPr>
          <w:sz w:val="24"/>
          <w:lang w:val="hr-HR"/>
        </w:rPr>
        <w:t>.</w:t>
      </w:r>
    </w:p>
  </w:footnote>
  <w:footnote w:id="2">
    <w:p w14:paraId="574F292E" w14:textId="27B413B4" w:rsidR="00D076C0" w:rsidRPr="00E34287" w:rsidRDefault="00D076C0" w:rsidP="00E34287">
      <w:pPr>
        <w:pStyle w:val="FootnoteText"/>
        <w:ind w:left="567" w:hanging="567"/>
        <w:rPr>
          <w:sz w:val="24"/>
          <w:lang w:val="hr-HR"/>
        </w:rPr>
      </w:pPr>
      <w:r w:rsidRPr="00E34287">
        <w:rPr>
          <w:rStyle w:val="FootnoteReference"/>
          <w:sz w:val="24"/>
          <w:lang w:val="hr-HR"/>
        </w:rPr>
        <w:footnoteRef/>
      </w:r>
      <w:r w:rsidR="00E34287" w:rsidRPr="00E34287">
        <w:rPr>
          <w:sz w:val="24"/>
          <w:lang w:val="hr-HR"/>
        </w:rPr>
        <w:t xml:space="preserve"> </w:t>
      </w:r>
      <w:r w:rsidR="00E34287" w:rsidRPr="00E34287">
        <w:rPr>
          <w:sz w:val="24"/>
          <w:lang w:val="hr-HR"/>
        </w:rPr>
        <w:tab/>
      </w:r>
      <w:r w:rsidRPr="00E34287">
        <w:rPr>
          <w:sz w:val="24"/>
          <w:lang w:val="hr-HR"/>
        </w:rPr>
        <w:t xml:space="preserve">SL C 93, 24.3.2017., ELI: </w:t>
      </w:r>
    </w:p>
  </w:footnote>
  <w:footnote w:id="3">
    <w:p w14:paraId="12EBBAAB" w14:textId="29FF0100" w:rsidR="00D076C0" w:rsidRPr="00E34287" w:rsidRDefault="00D076C0" w:rsidP="00E34287">
      <w:pPr>
        <w:pStyle w:val="FootnoteText"/>
        <w:ind w:left="567" w:hanging="567"/>
        <w:rPr>
          <w:sz w:val="24"/>
          <w:lang w:val="hr-HR"/>
        </w:rPr>
      </w:pPr>
      <w:r w:rsidRPr="00E34287">
        <w:rPr>
          <w:rStyle w:val="FootnoteReference"/>
          <w:sz w:val="24"/>
          <w:lang w:val="hr-HR"/>
        </w:rPr>
        <w:footnoteRef/>
      </w:r>
      <w:r w:rsidR="00E34287" w:rsidRPr="00E34287">
        <w:rPr>
          <w:sz w:val="24"/>
          <w:lang w:val="hr-HR"/>
        </w:rPr>
        <w:t xml:space="preserve"> </w:t>
      </w:r>
      <w:r w:rsidR="00E34287" w:rsidRPr="00E34287">
        <w:rPr>
          <w:sz w:val="24"/>
          <w:lang w:val="hr-HR"/>
        </w:rPr>
        <w:tab/>
      </w:r>
      <w:r w:rsidRPr="00E34287">
        <w:rPr>
          <w:sz w:val="24"/>
          <w:lang w:val="hr-HR"/>
        </w:rPr>
        <w:t>Usvojeni tekstovi od 21.1.2026., P10_TA(2026)0009.</w:t>
      </w:r>
    </w:p>
  </w:footnote>
  <w:footnote w:id="4">
    <w:p w14:paraId="7864F1F5" w14:textId="4FEC2B57" w:rsidR="00D076C0" w:rsidRPr="00E34287" w:rsidRDefault="00D076C0" w:rsidP="00E34287">
      <w:pPr>
        <w:pStyle w:val="FootnoteText"/>
        <w:ind w:left="567" w:hanging="567"/>
        <w:rPr>
          <w:sz w:val="24"/>
          <w:lang w:val="hr-HR"/>
        </w:rPr>
      </w:pPr>
      <w:r w:rsidRPr="00E34287">
        <w:rPr>
          <w:rStyle w:val="FootnoteReference"/>
          <w:sz w:val="24"/>
          <w:lang w:val="hr-HR"/>
        </w:rPr>
        <w:footnoteRef/>
      </w:r>
      <w:r w:rsidR="00E34287" w:rsidRPr="00E34287">
        <w:rPr>
          <w:sz w:val="24"/>
          <w:lang w:val="hr-HR"/>
        </w:rPr>
        <w:t xml:space="preserve"> </w:t>
      </w:r>
      <w:r w:rsidR="00E34287" w:rsidRPr="00E34287">
        <w:rPr>
          <w:sz w:val="24"/>
          <w:lang w:val="hr-HR"/>
        </w:rPr>
        <w:tab/>
      </w:r>
      <w:r w:rsidRPr="00E34287">
        <w:rPr>
          <w:sz w:val="24"/>
          <w:lang w:val="hr-HR"/>
        </w:rPr>
        <w:t xml:space="preserve">SL C, C/2025/5782, 30.10.2025., ELI: </w:t>
      </w:r>
      <w:hyperlink r:id="rId2" w:history="1">
        <w:r w:rsidRPr="00E34287">
          <w:rPr>
            <w:rStyle w:val="Hyperlink"/>
            <w:sz w:val="24"/>
            <w:lang w:val="hr-HR"/>
          </w:rPr>
          <w:t>https://eur-lex.europa.eu/legal-content/EN/TXT/?uri=celex%3A52025AG0010%2801%29</w:t>
        </w:r>
      </w:hyperlink>
      <w:r w:rsidRPr="00E34287">
        <w:rPr>
          <w:sz w:val="24"/>
          <w:lang w:val="hr-HR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E5745" w14:textId="77777777" w:rsidR="00064002" w:rsidRPr="00E34287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B16B4" w14:textId="77777777" w:rsidR="00064002" w:rsidRPr="00E34287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03282" w14:textId="77777777" w:rsidR="00064002" w:rsidRPr="00E34287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609652988">
    <w:abstractNumId w:val="9"/>
  </w:num>
  <w:num w:numId="2" w16cid:durableId="2096899027">
    <w:abstractNumId w:val="9"/>
  </w:num>
  <w:num w:numId="3" w16cid:durableId="635456945">
    <w:abstractNumId w:val="7"/>
  </w:num>
  <w:num w:numId="4" w16cid:durableId="382872771">
    <w:abstractNumId w:val="7"/>
  </w:num>
  <w:num w:numId="5" w16cid:durableId="341855986">
    <w:abstractNumId w:val="6"/>
  </w:num>
  <w:num w:numId="6" w16cid:durableId="930969143">
    <w:abstractNumId w:val="6"/>
  </w:num>
  <w:num w:numId="7" w16cid:durableId="1993102572">
    <w:abstractNumId w:val="5"/>
  </w:num>
  <w:num w:numId="8" w16cid:durableId="178083751">
    <w:abstractNumId w:val="5"/>
  </w:num>
  <w:num w:numId="9" w16cid:durableId="258104627">
    <w:abstractNumId w:val="4"/>
  </w:num>
  <w:num w:numId="10" w16cid:durableId="1896962571">
    <w:abstractNumId w:val="4"/>
  </w:num>
  <w:num w:numId="11" w16cid:durableId="1538199316">
    <w:abstractNumId w:val="8"/>
  </w:num>
  <w:num w:numId="12" w16cid:durableId="1871723877">
    <w:abstractNumId w:val="8"/>
  </w:num>
  <w:num w:numId="13" w16cid:durableId="1523593305">
    <w:abstractNumId w:val="3"/>
  </w:num>
  <w:num w:numId="14" w16cid:durableId="1197308822">
    <w:abstractNumId w:val="3"/>
  </w:num>
  <w:num w:numId="15" w16cid:durableId="592712755">
    <w:abstractNumId w:val="2"/>
  </w:num>
  <w:num w:numId="16" w16cid:durableId="565379548">
    <w:abstractNumId w:val="2"/>
  </w:num>
  <w:num w:numId="17" w16cid:durableId="1182474193">
    <w:abstractNumId w:val="1"/>
  </w:num>
  <w:num w:numId="18" w16cid:durableId="1041629894">
    <w:abstractNumId w:val="1"/>
  </w:num>
  <w:num w:numId="19" w16cid:durableId="644242761">
    <w:abstractNumId w:val="0"/>
  </w:num>
  <w:num w:numId="20" w16cid:durableId="132332328">
    <w:abstractNumId w:val="0"/>
  </w:num>
  <w:num w:numId="21" w16cid:durableId="107697950">
    <w:abstractNumId w:val="9"/>
  </w:num>
  <w:num w:numId="22" w16cid:durableId="426275656">
    <w:abstractNumId w:val="7"/>
  </w:num>
  <w:num w:numId="23" w16cid:durableId="1952205041">
    <w:abstractNumId w:val="6"/>
  </w:num>
  <w:num w:numId="24" w16cid:durableId="1666205445">
    <w:abstractNumId w:val="5"/>
  </w:num>
  <w:num w:numId="25" w16cid:durableId="1878156312">
    <w:abstractNumId w:val="4"/>
  </w:num>
  <w:num w:numId="26" w16cid:durableId="689338263">
    <w:abstractNumId w:val="8"/>
  </w:num>
  <w:num w:numId="27" w16cid:durableId="365062247">
    <w:abstractNumId w:val="3"/>
  </w:num>
  <w:num w:numId="28" w16cid:durableId="765223823">
    <w:abstractNumId w:val="2"/>
  </w:num>
  <w:num w:numId="29" w16cid:durableId="806967844">
    <w:abstractNumId w:val="1"/>
  </w:num>
  <w:num w:numId="30" w16cid:durableId="229848344">
    <w:abstractNumId w:val="0"/>
  </w:num>
  <w:num w:numId="31" w16cid:durableId="79303686">
    <w:abstractNumId w:val="9"/>
  </w:num>
  <w:num w:numId="32" w16cid:durableId="856231847">
    <w:abstractNumId w:val="7"/>
  </w:num>
  <w:num w:numId="33" w16cid:durableId="13115602">
    <w:abstractNumId w:val="6"/>
  </w:num>
  <w:num w:numId="34" w16cid:durableId="676999347">
    <w:abstractNumId w:val="5"/>
  </w:num>
  <w:num w:numId="35" w16cid:durableId="692269073">
    <w:abstractNumId w:val="4"/>
  </w:num>
  <w:num w:numId="36" w16cid:durableId="47000503">
    <w:abstractNumId w:val="8"/>
  </w:num>
  <w:num w:numId="37" w16cid:durableId="1568490112">
    <w:abstractNumId w:val="3"/>
  </w:num>
  <w:num w:numId="38" w16cid:durableId="450318713">
    <w:abstractNumId w:val="2"/>
  </w:num>
  <w:num w:numId="39" w16cid:durableId="667556790">
    <w:abstractNumId w:val="1"/>
  </w:num>
  <w:num w:numId="40" w16cid:durableId="1940795833">
    <w:abstractNumId w:val="0"/>
  </w:num>
  <w:num w:numId="41" w16cid:durableId="1514294739">
    <w:abstractNumId w:val="10"/>
  </w:num>
  <w:num w:numId="42" w16cid:durableId="1033532205">
    <w:abstractNumId w:val="10"/>
  </w:num>
  <w:num w:numId="43" w16cid:durableId="1792701620">
    <w:abstractNumId w:val="10"/>
  </w:num>
  <w:num w:numId="44" w16cid:durableId="12534720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191/2026"/>
    <w:docVar w:name="dvlangue" w:val="HR"/>
    <w:docVar w:name="dvnumam" w:val="0"/>
    <w:docVar w:name="dvpe" w:val="790.161"/>
    <w:docVar w:name="dvrapporteur" w:val="Izvjestiteljica: "/>
    <w:docVar w:name="dvstar" w:val="***III"/>
    <w:docVar w:name="dvtitre" w:val="Zakonodavna rezolucija Europskog parlamenta od .... 2026. o zajedničkom tekstu Uredbe Europskog parlamenta i Vijeća o izmjeni Uredbe (EZ) br. 261/2004 o utvrđivanju općih pravila o naknadi i pomoći putnicima u slučaju uskraćenog ukrcaja i otkazivanja ili dužeg kašnjenja letova i Uredbe (EZ) br. 2027/97 o odgovornosti zračnih prijevoznika u pogledu zračnog prijevoza putnika i njihove prtljage, koji je odobrio Odbor za mirenje(PE-CONS 00039/2026 – C10-0144/2026 – 2013/0072(COD))"/>
  </w:docVars>
  <w:rsids>
    <w:rsidRoot w:val="00880C28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80619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0819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7F6E6D"/>
    <w:rsid w:val="00817416"/>
    <w:rsid w:val="00842779"/>
    <w:rsid w:val="00865F67"/>
    <w:rsid w:val="00880C28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01C0B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076C0"/>
    <w:rsid w:val="00D56C11"/>
    <w:rsid w:val="00D834A0"/>
    <w:rsid w:val="00D872DF"/>
    <w:rsid w:val="00D91E21"/>
    <w:rsid w:val="00DA7FCD"/>
    <w:rsid w:val="00E14DB7"/>
    <w:rsid w:val="00E2291A"/>
    <w:rsid w:val="00E34287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4C64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6C3249"/>
  <w15:chartTrackingRefBased/>
  <w15:docId w15:val="{6ADCE6AD-431B-43F0-B7BE-D43B999B8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r-HR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D076C0"/>
    <w:pPr>
      <w:spacing w:before="480" w:after="240"/>
    </w:pPr>
  </w:style>
  <w:style w:type="paragraph" w:customStyle="1" w:styleId="NormalBold">
    <w:name w:val="NormalBold"/>
    <w:basedOn w:val="Normal"/>
    <w:rsid w:val="00D076C0"/>
    <w:rPr>
      <w:b/>
    </w:rPr>
  </w:style>
  <w:style w:type="paragraph" w:customStyle="1" w:styleId="NormalHanging12a">
    <w:name w:val="NormalHanging12a"/>
    <w:basedOn w:val="Normal"/>
    <w:rsid w:val="00D076C0"/>
    <w:pPr>
      <w:spacing w:after="240"/>
      <w:ind w:left="567" w:hanging="567"/>
    </w:pPr>
  </w:style>
  <w:style w:type="character" w:styleId="Hyperlink">
    <w:name w:val="Hyperlink"/>
    <w:basedOn w:val="DefaultParagraphFont"/>
    <w:rsid w:val="00D076C0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B01C0B"/>
    <w:rPr>
      <w:sz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ur-lex.europa.eu/legal-content/EN/TXT/?uri=celex%3A52025AG0010%2801%29" TargetMode="External"/><Relationship Id="rId1" Type="http://schemas.openxmlformats.org/officeDocument/2006/relationships/hyperlink" Target="https://eur-lex.europa.eu/legal-content/en/TXT/?uri=celex:52013AE25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277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JELIC PRIMORAC Ivana</dc:creator>
  <cp:keywords/>
  <cp:lastModifiedBy>JELIC PRIMORAC Ivana</cp:lastModifiedBy>
  <cp:revision>2</cp:revision>
  <cp:lastPrinted>2004-11-19T15:42:00Z</cp:lastPrinted>
  <dcterms:created xsi:type="dcterms:W3CDTF">2026-07-07T10:31:00Z</dcterms:created>
  <dcterms:modified xsi:type="dcterms:W3CDTF">2026-07-07T10:31:00Z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HR</vt:lpwstr>
  </property>
  <property fmtid="{D5CDD505-2E9C-101B-9397-08002B2CF9AE}" pid="3" name="&lt;FdR&gt;">
    <vt:lpwstr>A10-0191/2026</vt:lpwstr>
  </property>
  <property fmtid="{D5CDD505-2E9C-101B-9397-08002B2CF9AE}" pid="4" name="&lt;Type&gt;">
    <vt:lpwstr>RR</vt:lpwstr>
  </property>
</Properties>
</file>