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7BCA" w14:paraId="54D908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7CE0D5" w14:textId="77777777" w:rsidR="00751A4A" w:rsidRPr="002F7BCA" w:rsidRDefault="00E40EFE" w:rsidP="0010095E">
            <w:pPr>
              <w:pStyle w:val="EPName"/>
            </w:pPr>
            <w:r w:rsidRPr="002F7BCA">
              <w:t>Parlamento europeo</w:t>
            </w:r>
          </w:p>
          <w:p w14:paraId="78CA1AE0" w14:textId="77777777" w:rsidR="00751A4A" w:rsidRPr="002F7B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7BCA">
              <w:t>2024</w:t>
            </w:r>
            <w:r w:rsidR="00817416" w:rsidRPr="002F7BCA">
              <w:t>-202</w:t>
            </w:r>
            <w:r w:rsidRPr="002F7BCA">
              <w:t>9</w:t>
            </w:r>
          </w:p>
        </w:tc>
        <w:tc>
          <w:tcPr>
            <w:tcW w:w="2268" w:type="dxa"/>
            <w:shd w:val="clear" w:color="auto" w:fill="auto"/>
          </w:tcPr>
          <w:p w14:paraId="7C75F8DC" w14:textId="77777777" w:rsidR="00751A4A" w:rsidRPr="002F7BCA" w:rsidRDefault="00187494" w:rsidP="0010095E">
            <w:pPr>
              <w:pStyle w:val="EPLogo"/>
            </w:pPr>
            <w:r w:rsidRPr="002F7BCA">
              <w:rPr>
                <w:noProof/>
                <w:lang w:eastAsia="ja-JP"/>
              </w:rPr>
              <w:drawing>
                <wp:inline distT="0" distB="0" distL="0" distR="0" wp14:anchorId="580D9CFA" wp14:editId="1D4C12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879CA" w14:textId="77777777" w:rsidR="00D058B8" w:rsidRPr="002F7BCA" w:rsidRDefault="00D058B8" w:rsidP="004C5D52">
      <w:pPr>
        <w:pStyle w:val="LineTop"/>
      </w:pPr>
    </w:p>
    <w:p w14:paraId="02A5005F" w14:textId="77777777" w:rsidR="00680577" w:rsidRPr="002F7BCA" w:rsidRDefault="00E40EFE" w:rsidP="00680577">
      <w:pPr>
        <w:pStyle w:val="EPBodyTA1"/>
      </w:pPr>
      <w:r w:rsidRPr="002F7BCA">
        <w:t>TESTI APPROVATI</w:t>
      </w:r>
    </w:p>
    <w:p w14:paraId="0F0BE2A7" w14:textId="77777777" w:rsidR="00D058B8" w:rsidRPr="002F7BCA" w:rsidRDefault="00D058B8" w:rsidP="00D058B8">
      <w:pPr>
        <w:pStyle w:val="LineBottom"/>
      </w:pPr>
    </w:p>
    <w:p w14:paraId="5602E59A" w14:textId="2CF65E4A" w:rsidR="00E40EFE" w:rsidRPr="002F7BCA" w:rsidRDefault="00E40EFE" w:rsidP="00E40EFE">
      <w:pPr>
        <w:pStyle w:val="ATHeading1"/>
      </w:pPr>
      <w:bookmarkStart w:id="0" w:name="TANumber"/>
      <w:r w:rsidRPr="002F7BCA">
        <w:t>P10_</w:t>
      </w:r>
      <w:proofErr w:type="gramStart"/>
      <w:r w:rsidRPr="002F7BCA">
        <w:t>TA(</w:t>
      </w:r>
      <w:proofErr w:type="gramEnd"/>
      <w:r w:rsidRPr="002F7BCA">
        <w:t>2026)0</w:t>
      </w:r>
      <w:r w:rsidR="002F7BCA" w:rsidRPr="002F7BCA">
        <w:t>238</w:t>
      </w:r>
      <w:bookmarkEnd w:id="0"/>
    </w:p>
    <w:p w14:paraId="482F39FC" w14:textId="77777777" w:rsidR="00E40EFE" w:rsidRPr="002F7BCA" w:rsidRDefault="00E40EFE" w:rsidP="00E40EFE">
      <w:pPr>
        <w:pStyle w:val="ATHeading2"/>
      </w:pPr>
      <w:bookmarkStart w:id="1" w:name="title"/>
      <w:r w:rsidRPr="002F7BCA">
        <w:t>Diritti dei passeggeri del trasporto aereo</w:t>
      </w:r>
      <w:bookmarkEnd w:id="1"/>
    </w:p>
    <w:p w14:paraId="56D047BF" w14:textId="77777777" w:rsidR="00E40EFE" w:rsidRPr="002F7BCA" w:rsidRDefault="00E40EFE" w:rsidP="00E40EFE">
      <w:pPr>
        <w:rPr>
          <w:i/>
          <w:vanish/>
        </w:rPr>
      </w:pPr>
      <w:r w:rsidRPr="002F7BCA">
        <w:rPr>
          <w:i/>
        </w:rPr>
        <w:fldChar w:fldCharType="begin"/>
      </w:r>
      <w:r w:rsidRPr="002F7BCA">
        <w:rPr>
          <w:i/>
        </w:rPr>
        <w:instrText xml:space="preserve"> TC"(</w:instrText>
      </w:r>
      <w:bookmarkStart w:id="2" w:name="DocNumber"/>
      <w:r w:rsidRPr="002F7BCA">
        <w:rPr>
          <w:i/>
        </w:rPr>
        <w:instrText>A10-0191/2026</w:instrText>
      </w:r>
      <w:bookmarkEnd w:id="2"/>
      <w:r w:rsidRPr="002F7BCA">
        <w:rPr>
          <w:i/>
        </w:rPr>
        <w:instrText xml:space="preserve"> - Relatrice: Roberta </w:instrText>
      </w:r>
      <w:proofErr w:type="spellStart"/>
      <w:r w:rsidRPr="002F7BCA">
        <w:rPr>
          <w:i/>
        </w:rPr>
        <w:instrText>Metsola</w:instrText>
      </w:r>
      <w:proofErr w:type="spellEnd"/>
      <w:r w:rsidRPr="002F7BCA">
        <w:rPr>
          <w:i/>
        </w:rPr>
        <w:instrText xml:space="preserve">)"\l3 \n&gt; \* MERGEFORMAT </w:instrText>
      </w:r>
      <w:r w:rsidRPr="002F7BCA">
        <w:rPr>
          <w:i/>
        </w:rPr>
        <w:fldChar w:fldCharType="end"/>
      </w:r>
    </w:p>
    <w:p w14:paraId="0F5D4401" w14:textId="77777777" w:rsidR="00E40EFE" w:rsidRPr="002F7BCA" w:rsidRDefault="00E40EFE" w:rsidP="00E40EFE">
      <w:pPr>
        <w:rPr>
          <w:vanish/>
        </w:rPr>
      </w:pPr>
      <w:bookmarkStart w:id="3" w:name="Commission"/>
      <w:r w:rsidRPr="002F7BCA">
        <w:rPr>
          <w:vanish/>
        </w:rPr>
        <w:t>Delegazione del Parlamento europeo al comitato di conciliazione</w:t>
      </w:r>
      <w:bookmarkEnd w:id="3"/>
    </w:p>
    <w:p w14:paraId="08069722" w14:textId="77777777" w:rsidR="00E40EFE" w:rsidRPr="002F7BCA" w:rsidRDefault="00E40EFE" w:rsidP="00E40EFE">
      <w:pPr>
        <w:rPr>
          <w:vanish/>
        </w:rPr>
      </w:pPr>
      <w:bookmarkStart w:id="4" w:name="PE"/>
      <w:r w:rsidRPr="002F7BCA">
        <w:rPr>
          <w:vanish/>
        </w:rPr>
        <w:t>PE790.161</w:t>
      </w:r>
      <w:bookmarkEnd w:id="4"/>
    </w:p>
    <w:p w14:paraId="7FE0B2BD" w14:textId="77777777" w:rsidR="00E40EFE" w:rsidRPr="002F7BCA" w:rsidRDefault="00E40EFE" w:rsidP="00E40EFE">
      <w:pPr>
        <w:pStyle w:val="ATHeading3"/>
      </w:pPr>
      <w:bookmarkStart w:id="5" w:name="Sujet"/>
      <w:r w:rsidRPr="002F7BCA">
        <w:t>Risoluzione legislativa del Parlamento europeo del 7 luglio 2026 sul progetto comune, approvato dal comitato di conciliazione, di regolamento del Parlamento europeo e del Consiglio che modifica il regolamento (CE) n. 261/2004 che istituisce regole comuni in materia di compensazione ed assistenza ai passeggeri in caso di negato imbarco, di cancellazione del volo o di ritardo prolungato e il regolamento (CE) n. 2027/97 sulla responsabilità del vettore aereo in merito al trasporto aereo di passeggeri e dei loro bagagli</w:t>
      </w:r>
      <w:bookmarkEnd w:id="5"/>
      <w:r w:rsidRPr="002F7BCA">
        <w:t xml:space="preserve"> </w:t>
      </w:r>
      <w:bookmarkStart w:id="6" w:name="References"/>
      <w:r w:rsidRPr="002F7BCA">
        <w:t>(PE-CONS 00039/2026 – C10-0144/2026 – 2013/0072(COD))</w:t>
      </w:r>
      <w:bookmarkEnd w:id="6"/>
    </w:p>
    <w:p w14:paraId="6A35F01F" w14:textId="77777777" w:rsidR="00ED5583" w:rsidRPr="002F7BCA" w:rsidRDefault="00ED5583" w:rsidP="00ED5583">
      <w:pPr>
        <w:pStyle w:val="NormalBold"/>
      </w:pPr>
      <w:r w:rsidRPr="002F7BCA">
        <w:t>(Procedura legislativa ordinaria: terza lettura)</w:t>
      </w:r>
    </w:p>
    <w:p w14:paraId="3249D205" w14:textId="77777777" w:rsidR="00ED5583" w:rsidRPr="002F7BCA" w:rsidRDefault="00ED5583" w:rsidP="00ED5583">
      <w:pPr>
        <w:pStyle w:val="EPComma"/>
      </w:pPr>
      <w:r w:rsidRPr="002F7BCA">
        <w:rPr>
          <w:i/>
          <w:iCs/>
        </w:rPr>
        <w:t>Il Parlamento europeo</w:t>
      </w:r>
      <w:r w:rsidRPr="002F7BCA">
        <w:t>,</w:t>
      </w:r>
    </w:p>
    <w:p w14:paraId="550ACDDA" w14:textId="77777777" w:rsidR="00ED5583" w:rsidRPr="002F7BCA" w:rsidRDefault="00ED5583" w:rsidP="00ED5583">
      <w:pPr>
        <w:pStyle w:val="NormalHanging12a"/>
      </w:pPr>
      <w:r w:rsidRPr="002F7BCA">
        <w:t>–</w:t>
      </w:r>
      <w:r w:rsidRPr="002F7BCA">
        <w:tab/>
        <w:t>visto il progetto comune approvato dal comitato di conciliazione (PE-CONS 00039/2026 – C10</w:t>
      </w:r>
      <w:r w:rsidRPr="002F7BCA">
        <w:noBreakHyphen/>
        <w:t>0144/2026),</w:t>
      </w:r>
    </w:p>
    <w:p w14:paraId="1A87FB57" w14:textId="77777777" w:rsidR="00ED5583" w:rsidRPr="002F7BCA" w:rsidRDefault="00ED5583" w:rsidP="00ED5583">
      <w:pPr>
        <w:pStyle w:val="NormalHanging12a"/>
      </w:pPr>
      <w:r w:rsidRPr="002F7BCA">
        <w:t>–</w:t>
      </w:r>
      <w:r w:rsidRPr="002F7BCA">
        <w:tab/>
        <w:t>visto il parere del Comitato economico e sociale europeo dell'11 luglio 2013</w:t>
      </w:r>
      <w:r w:rsidRPr="002F7BCA">
        <w:rPr>
          <w:rStyle w:val="FootnoteReference"/>
        </w:rPr>
        <w:footnoteReference w:id="1"/>
      </w:r>
      <w:r w:rsidRPr="002F7BCA">
        <w:t>,</w:t>
      </w:r>
    </w:p>
    <w:p w14:paraId="3321B8AE" w14:textId="7FA77C7F" w:rsidR="00DC308D" w:rsidRPr="002F7BCA" w:rsidRDefault="00DC308D" w:rsidP="00ED5583">
      <w:pPr>
        <w:pStyle w:val="NormalHanging12a"/>
      </w:pPr>
      <w:r w:rsidRPr="002F7BCA">
        <w:t>–</w:t>
      </w:r>
      <w:r w:rsidRPr="002F7BCA">
        <w:tab/>
        <w:t>previa consultazione del Comitato delle regioni,</w:t>
      </w:r>
    </w:p>
    <w:p w14:paraId="6DC1F598" w14:textId="77777777" w:rsidR="00ED5583" w:rsidRPr="002F7BCA" w:rsidRDefault="00ED5583" w:rsidP="00ED5583">
      <w:pPr>
        <w:pStyle w:val="NormalHanging12a"/>
      </w:pPr>
      <w:r w:rsidRPr="002F7BCA">
        <w:t>–</w:t>
      </w:r>
      <w:r w:rsidRPr="002F7BCA">
        <w:tab/>
        <w:t>vista la sua posizione in prima lettura</w:t>
      </w:r>
      <w:r w:rsidRPr="002F7BCA">
        <w:rPr>
          <w:rStyle w:val="FootnoteReference"/>
        </w:rPr>
        <w:footnoteReference w:id="2"/>
      </w:r>
      <w:r w:rsidRPr="002F7BCA">
        <w:t xml:space="preserve"> sulla proposta della Commissione al Parlamento europeo e al Consiglio (</w:t>
      </w:r>
      <w:proofErr w:type="gramStart"/>
      <w:r w:rsidRPr="002F7BCA">
        <w:t>COM(</w:t>
      </w:r>
      <w:proofErr w:type="gramEnd"/>
      <w:r w:rsidRPr="002F7BCA">
        <w:t>2013)0130),</w:t>
      </w:r>
    </w:p>
    <w:p w14:paraId="44F7C2E0" w14:textId="77777777" w:rsidR="00ED5583" w:rsidRPr="002F7BCA" w:rsidRDefault="00ED5583" w:rsidP="00ED5583">
      <w:pPr>
        <w:pStyle w:val="NormalHanging12a"/>
      </w:pPr>
      <w:r w:rsidRPr="002F7BCA">
        <w:t>–</w:t>
      </w:r>
      <w:r w:rsidRPr="002F7BCA">
        <w:tab/>
        <w:t>vista la sua posizione in seconda lettura</w:t>
      </w:r>
      <w:r w:rsidRPr="002F7BCA">
        <w:rPr>
          <w:rStyle w:val="FootnoteReference"/>
        </w:rPr>
        <w:footnoteReference w:id="3"/>
      </w:r>
      <w:r w:rsidRPr="002F7BCA">
        <w:t xml:space="preserve"> sulla posizione del Consiglio in prima lettura</w:t>
      </w:r>
      <w:r w:rsidRPr="002F7BCA">
        <w:rPr>
          <w:rStyle w:val="FootnoteReference"/>
        </w:rPr>
        <w:footnoteReference w:id="4"/>
      </w:r>
      <w:r w:rsidRPr="002F7BCA">
        <w:t>,</w:t>
      </w:r>
    </w:p>
    <w:p w14:paraId="6FFBF28C" w14:textId="77777777" w:rsidR="00ED5583" w:rsidRPr="002F7BCA" w:rsidRDefault="00ED5583" w:rsidP="00ED5583">
      <w:pPr>
        <w:pStyle w:val="NormalHanging12a"/>
      </w:pPr>
      <w:r w:rsidRPr="002F7BCA">
        <w:t>–</w:t>
      </w:r>
      <w:r w:rsidRPr="002F7BCA">
        <w:tab/>
        <w:t xml:space="preserve">visto il parere formulato dalla Commissione sugli emendamenti del Parlamento alla </w:t>
      </w:r>
      <w:r w:rsidRPr="002F7BCA">
        <w:lastRenderedPageBreak/>
        <w:t>posizione del Consiglio in prima lettura (</w:t>
      </w:r>
      <w:proofErr w:type="gramStart"/>
      <w:r w:rsidRPr="002F7BCA">
        <w:t>COM(</w:t>
      </w:r>
      <w:proofErr w:type="gramEnd"/>
      <w:r w:rsidRPr="002F7BCA">
        <w:t>2026)0129),</w:t>
      </w:r>
    </w:p>
    <w:p w14:paraId="2F94E9A2" w14:textId="77777777" w:rsidR="00ED5583" w:rsidRPr="002F7BCA" w:rsidRDefault="00ED5583" w:rsidP="00ED5583">
      <w:pPr>
        <w:pStyle w:val="NormalHanging12a"/>
      </w:pPr>
      <w:r w:rsidRPr="002F7BCA">
        <w:t>–</w:t>
      </w:r>
      <w:r w:rsidRPr="002F7BCA">
        <w:tab/>
        <w:t>vista la posizione del Consiglio in seconda lettura,</w:t>
      </w:r>
    </w:p>
    <w:p w14:paraId="7ED3C098" w14:textId="77777777" w:rsidR="00ED5583" w:rsidRPr="002F7BCA" w:rsidRDefault="00ED5583" w:rsidP="00ED5583">
      <w:pPr>
        <w:pStyle w:val="NormalHanging12a"/>
      </w:pPr>
      <w:r w:rsidRPr="002F7BCA">
        <w:t>–</w:t>
      </w:r>
      <w:r w:rsidRPr="002F7BCA">
        <w:tab/>
        <w:t>visto l'articolo 294, paragrafo 13, del trattato sul funzionamento dell'Unione europea,</w:t>
      </w:r>
    </w:p>
    <w:p w14:paraId="1C9071C5" w14:textId="77777777" w:rsidR="00ED5583" w:rsidRPr="002F7BCA" w:rsidRDefault="00ED5583" w:rsidP="00ED5583">
      <w:pPr>
        <w:pStyle w:val="NormalHanging12a"/>
      </w:pPr>
      <w:r w:rsidRPr="002F7BCA">
        <w:t>–</w:t>
      </w:r>
      <w:r w:rsidRPr="002F7BCA">
        <w:tab/>
        <w:t>visto l'articolo 79 del suo regolamento,</w:t>
      </w:r>
    </w:p>
    <w:p w14:paraId="6C69516E" w14:textId="77777777" w:rsidR="00ED5583" w:rsidRPr="002F7BCA" w:rsidRDefault="00ED5583" w:rsidP="00ED5583">
      <w:pPr>
        <w:pStyle w:val="NormalHanging12a"/>
      </w:pPr>
      <w:r w:rsidRPr="002F7BCA">
        <w:t>–</w:t>
      </w:r>
      <w:r w:rsidRPr="002F7BCA">
        <w:tab/>
        <w:t>vista la relazione della sua delegazione al comitato di conciliazione (A10-0191/2026),</w:t>
      </w:r>
    </w:p>
    <w:p w14:paraId="1F65D203" w14:textId="77777777" w:rsidR="00ED5583" w:rsidRPr="002F7BCA" w:rsidRDefault="00ED5583" w:rsidP="00ED5583">
      <w:pPr>
        <w:pStyle w:val="NormalHanging12a"/>
      </w:pPr>
      <w:r w:rsidRPr="002F7BCA">
        <w:t>1.</w:t>
      </w:r>
      <w:r w:rsidRPr="002F7BCA">
        <w:tab/>
        <w:t>approva il progetto comune;</w:t>
      </w:r>
    </w:p>
    <w:p w14:paraId="20368A0B" w14:textId="77777777" w:rsidR="00ED5583" w:rsidRPr="002F7BCA" w:rsidRDefault="00ED5583" w:rsidP="00ED5583">
      <w:pPr>
        <w:pStyle w:val="NormalHanging12a"/>
      </w:pPr>
      <w:r w:rsidRPr="002F7BCA">
        <w:t>2.</w:t>
      </w:r>
      <w:r w:rsidRPr="002F7BCA">
        <w:tab/>
        <w:t>incarica la sua Presidente di firmare l'atto congiuntamente al Presidente del Consiglio, a norma dell'articolo 297, paragrafo 1, del trattato sul funzionamento dell'Unione europea;</w:t>
      </w:r>
    </w:p>
    <w:p w14:paraId="675A9060" w14:textId="5BBA26BD" w:rsidR="00ED5583" w:rsidRPr="002F7BCA" w:rsidRDefault="00ED5583" w:rsidP="00ED5583">
      <w:pPr>
        <w:pStyle w:val="NormalHanging12a"/>
      </w:pPr>
      <w:r w:rsidRPr="002F7BCA">
        <w:t>3.</w:t>
      </w:r>
      <w:r w:rsidRPr="002F7BCA">
        <w:tab/>
        <w:t xml:space="preserve">incarica il suo Segretario generale di firmare l'atto, previa verifica che tutte le procedure siano state debitamente espletate, e di procedere, d'intesa con </w:t>
      </w:r>
      <w:r w:rsidR="00DC308D" w:rsidRPr="002F7BCA">
        <w:t>la</w:t>
      </w:r>
      <w:r w:rsidRPr="002F7BCA">
        <w:t xml:space="preserve"> Segretari</w:t>
      </w:r>
      <w:r w:rsidR="00DC308D" w:rsidRPr="002F7BCA">
        <w:t>a</w:t>
      </w:r>
      <w:r w:rsidRPr="002F7BCA">
        <w:t xml:space="preserve"> generale del Consiglio, a pubblicarlo nella </w:t>
      </w:r>
      <w:r w:rsidRPr="002F7BCA">
        <w:rPr>
          <w:i/>
          <w:iCs/>
        </w:rPr>
        <w:t>Gazzetta ufficiale dell'Unione europea</w:t>
      </w:r>
      <w:r w:rsidRPr="002F7BCA">
        <w:t>;</w:t>
      </w:r>
    </w:p>
    <w:p w14:paraId="740C3B5F" w14:textId="0F6D1208" w:rsidR="00E365E1" w:rsidRPr="002F7BCA" w:rsidRDefault="00ED5583" w:rsidP="002F7BCA">
      <w:pPr>
        <w:pStyle w:val="NormalHanging12a"/>
      </w:pPr>
      <w:r w:rsidRPr="002F7BCA">
        <w:t>4.</w:t>
      </w:r>
      <w:r w:rsidRPr="002F7BCA">
        <w:tab/>
        <w:t>incarica la sua Presidente di trasmettere la presente risoluzione legislativa al Consiglio e alla Commissione nonché ai parlamenti nazionali.</w:t>
      </w:r>
    </w:p>
    <w:sectPr w:rsidR="00E365E1" w:rsidRPr="002F7BCA" w:rsidSect="007C78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37872" w14:textId="77777777" w:rsidR="00E40EFE" w:rsidRPr="007C7806" w:rsidRDefault="00E40EFE">
      <w:r w:rsidRPr="007C7806">
        <w:separator/>
      </w:r>
    </w:p>
  </w:endnote>
  <w:endnote w:type="continuationSeparator" w:id="0">
    <w:p w14:paraId="7BBFDEAE" w14:textId="77777777" w:rsidR="00E40EFE" w:rsidRPr="007C7806" w:rsidRDefault="00E40EFE">
      <w:r w:rsidRPr="007C78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434B9" w14:textId="77777777" w:rsidR="00064002" w:rsidRPr="007C78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D8F68" w14:textId="77777777" w:rsidR="00064002" w:rsidRPr="007C78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EC44E" w14:textId="77777777" w:rsidR="00064002" w:rsidRPr="007C78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ECC15" w14:textId="77777777" w:rsidR="00E40EFE" w:rsidRPr="007C7806" w:rsidRDefault="00E40EFE">
      <w:r w:rsidRPr="007C7806">
        <w:separator/>
      </w:r>
    </w:p>
  </w:footnote>
  <w:footnote w:type="continuationSeparator" w:id="0">
    <w:p w14:paraId="2099CCE5" w14:textId="77777777" w:rsidR="00E40EFE" w:rsidRPr="007C7806" w:rsidRDefault="00E40EFE">
      <w:r w:rsidRPr="007C7806">
        <w:continuationSeparator/>
      </w:r>
    </w:p>
  </w:footnote>
  <w:footnote w:id="1">
    <w:p w14:paraId="4BC377F2" w14:textId="77777777" w:rsidR="00ED5583" w:rsidRPr="002F7BCA" w:rsidRDefault="00ED5583" w:rsidP="007C7806">
      <w:pPr>
        <w:pStyle w:val="FootnoteText"/>
        <w:ind w:left="567" w:hanging="567"/>
        <w:rPr>
          <w:sz w:val="24"/>
          <w:lang w:val="es-ES"/>
        </w:rPr>
      </w:pPr>
      <w:r w:rsidRPr="007C7806">
        <w:rPr>
          <w:rStyle w:val="FootnoteReference"/>
          <w:sz w:val="24"/>
          <w:lang w:val="it-IT"/>
        </w:rPr>
        <w:footnoteRef/>
      </w:r>
      <w:r w:rsidR="007C7806" w:rsidRPr="002F7BCA">
        <w:rPr>
          <w:sz w:val="24"/>
          <w:lang w:val="es-ES"/>
        </w:rPr>
        <w:t xml:space="preserve"> </w:t>
      </w:r>
      <w:r w:rsidR="007C7806" w:rsidRPr="002F7BCA">
        <w:rPr>
          <w:sz w:val="24"/>
          <w:lang w:val="es-ES"/>
        </w:rPr>
        <w:tab/>
      </w:r>
      <w:r w:rsidRPr="002F7BCA">
        <w:rPr>
          <w:sz w:val="24"/>
          <w:lang w:val="es-ES"/>
        </w:rPr>
        <w:t xml:space="preserve">GU C 327 del 12.11.2013, ELI: </w:t>
      </w:r>
      <w:hyperlink r:id="rId1" w:history="1">
        <w:r w:rsidRPr="002F7BCA">
          <w:rPr>
            <w:rStyle w:val="Hyperlink"/>
            <w:sz w:val="24"/>
            <w:lang w:val="es-ES"/>
          </w:rPr>
          <w:t>https://eur-lex.europa.eu/legal-content/IT/TXT/?uri=celex:52013AE2576</w:t>
        </w:r>
      </w:hyperlink>
      <w:r w:rsidRPr="002F7BCA">
        <w:rPr>
          <w:sz w:val="24"/>
          <w:lang w:val="es-ES"/>
        </w:rPr>
        <w:t>.</w:t>
      </w:r>
    </w:p>
  </w:footnote>
  <w:footnote w:id="2">
    <w:p w14:paraId="24DD674B" w14:textId="3DA3EE21" w:rsidR="00ED5583" w:rsidRPr="007C7806" w:rsidRDefault="00ED5583" w:rsidP="007C7806">
      <w:pPr>
        <w:pStyle w:val="FootnoteText"/>
        <w:ind w:left="567" w:hanging="567"/>
        <w:rPr>
          <w:sz w:val="24"/>
          <w:lang w:val="it-IT"/>
        </w:rPr>
      </w:pPr>
      <w:r w:rsidRPr="007C7806">
        <w:rPr>
          <w:rStyle w:val="FootnoteReference"/>
          <w:sz w:val="24"/>
          <w:lang w:val="it-IT"/>
        </w:rPr>
        <w:footnoteRef/>
      </w:r>
      <w:r w:rsidR="007C7806" w:rsidRPr="007C7806">
        <w:rPr>
          <w:sz w:val="24"/>
          <w:lang w:val="it-IT"/>
        </w:rPr>
        <w:t xml:space="preserve"> </w:t>
      </w:r>
      <w:r w:rsidR="007C7806" w:rsidRPr="007C7806">
        <w:rPr>
          <w:sz w:val="24"/>
          <w:lang w:val="it-IT"/>
        </w:rPr>
        <w:tab/>
      </w:r>
      <w:r w:rsidRPr="007C7806">
        <w:rPr>
          <w:sz w:val="24"/>
          <w:lang w:val="it-IT"/>
        </w:rPr>
        <w:t xml:space="preserve">GU C 93 del 24.3.2017, ELI: </w:t>
      </w:r>
      <w:hyperlink r:id="rId2" w:history="1">
        <w:r w:rsidRPr="007C7806">
          <w:rPr>
            <w:rStyle w:val="Hyperlink"/>
            <w:sz w:val="24"/>
            <w:lang w:val="it-IT"/>
          </w:rPr>
          <w:t>https://eur-lex.europa.eu/legal-content/it/TXT/?uri=celex%3A52014AP0092</w:t>
        </w:r>
      </w:hyperlink>
      <w:r w:rsidRPr="007C7806">
        <w:rPr>
          <w:sz w:val="24"/>
          <w:lang w:val="it-IT"/>
        </w:rPr>
        <w:t>/Testi approvati del 5.2.2014, P7_</w:t>
      </w:r>
      <w:proofErr w:type="gramStart"/>
      <w:r w:rsidRPr="007C7806">
        <w:rPr>
          <w:sz w:val="24"/>
          <w:lang w:val="it-IT"/>
        </w:rPr>
        <w:t>TA(</w:t>
      </w:r>
      <w:proofErr w:type="gramEnd"/>
      <w:r w:rsidRPr="007C7806">
        <w:rPr>
          <w:sz w:val="24"/>
          <w:lang w:val="it-IT"/>
        </w:rPr>
        <w:t>2014)0092.</w:t>
      </w:r>
    </w:p>
  </w:footnote>
  <w:footnote w:id="3">
    <w:p w14:paraId="5CD05CB2" w14:textId="77777777" w:rsidR="00ED5583" w:rsidRPr="007C7806" w:rsidRDefault="00ED5583" w:rsidP="007C7806">
      <w:pPr>
        <w:pStyle w:val="FootnoteText"/>
        <w:ind w:left="567" w:hanging="567"/>
        <w:rPr>
          <w:sz w:val="24"/>
          <w:lang w:val="it-IT"/>
        </w:rPr>
      </w:pPr>
      <w:r w:rsidRPr="007C7806">
        <w:rPr>
          <w:rStyle w:val="FootnoteReference"/>
          <w:sz w:val="24"/>
          <w:lang w:val="it-IT"/>
        </w:rPr>
        <w:footnoteRef/>
      </w:r>
      <w:r w:rsidR="007C7806" w:rsidRPr="007C7806">
        <w:rPr>
          <w:sz w:val="24"/>
          <w:lang w:val="it-IT"/>
        </w:rPr>
        <w:t xml:space="preserve"> </w:t>
      </w:r>
      <w:r w:rsidR="007C7806" w:rsidRPr="007C7806">
        <w:rPr>
          <w:sz w:val="24"/>
          <w:lang w:val="it-IT"/>
        </w:rPr>
        <w:tab/>
      </w:r>
      <w:r w:rsidRPr="007C7806">
        <w:rPr>
          <w:sz w:val="24"/>
          <w:lang w:val="it-IT"/>
        </w:rPr>
        <w:t>Testi approvati del 21.1.2026, P10_</w:t>
      </w:r>
      <w:proofErr w:type="gramStart"/>
      <w:r w:rsidRPr="007C7806">
        <w:rPr>
          <w:sz w:val="24"/>
          <w:lang w:val="it-IT"/>
        </w:rPr>
        <w:t>TA(</w:t>
      </w:r>
      <w:proofErr w:type="gramEnd"/>
      <w:r w:rsidRPr="007C7806">
        <w:rPr>
          <w:sz w:val="24"/>
          <w:lang w:val="it-IT"/>
        </w:rPr>
        <w:t>2026)0009.</w:t>
      </w:r>
    </w:p>
  </w:footnote>
  <w:footnote w:id="4">
    <w:p w14:paraId="4080F833" w14:textId="77777777" w:rsidR="00ED5583" w:rsidRPr="002F7BCA" w:rsidRDefault="00ED5583" w:rsidP="007C7806">
      <w:pPr>
        <w:pStyle w:val="FootnoteText"/>
        <w:ind w:left="567" w:hanging="567"/>
        <w:rPr>
          <w:sz w:val="24"/>
          <w:lang w:val="fi-FI"/>
        </w:rPr>
      </w:pPr>
      <w:r w:rsidRPr="007C7806">
        <w:rPr>
          <w:rStyle w:val="FootnoteReference"/>
          <w:sz w:val="24"/>
          <w:lang w:val="it-IT"/>
        </w:rPr>
        <w:footnoteRef/>
      </w:r>
      <w:r w:rsidR="007C7806" w:rsidRPr="002F7BCA">
        <w:rPr>
          <w:sz w:val="24"/>
          <w:lang w:val="fi-FI"/>
        </w:rPr>
        <w:t xml:space="preserve"> </w:t>
      </w:r>
      <w:r w:rsidR="007C7806" w:rsidRPr="002F7BCA">
        <w:rPr>
          <w:sz w:val="24"/>
          <w:lang w:val="fi-FI"/>
        </w:rPr>
        <w:tab/>
      </w:r>
      <w:r w:rsidRPr="002F7BCA">
        <w:rPr>
          <w:sz w:val="24"/>
          <w:lang w:val="fi-FI"/>
        </w:rPr>
        <w:t xml:space="preserve">GU C, C/2025/5782, 30.10.2025, ELI: </w:t>
      </w:r>
      <w:hyperlink r:id="rId3" w:history="1">
        <w:r w:rsidRPr="002F7BCA">
          <w:rPr>
            <w:rStyle w:val="Hyperlink"/>
            <w:sz w:val="24"/>
            <w:lang w:val="fi-FI"/>
          </w:rPr>
          <w:t>https://eur-lex.europa.eu/legal-content/IT/TXT/?uri=celex%3A52025AG0010%2801%29</w:t>
        </w:r>
      </w:hyperlink>
      <w:r w:rsidRPr="002F7BCA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B010D" w14:textId="77777777" w:rsidR="00064002" w:rsidRPr="007C78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C6F40" w14:textId="77777777" w:rsidR="00064002" w:rsidRPr="007C78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5BBC2" w14:textId="77777777" w:rsidR="00064002" w:rsidRPr="007C78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9587537">
    <w:abstractNumId w:val="9"/>
  </w:num>
  <w:num w:numId="2" w16cid:durableId="1064375605">
    <w:abstractNumId w:val="9"/>
  </w:num>
  <w:num w:numId="3" w16cid:durableId="1570114330">
    <w:abstractNumId w:val="7"/>
  </w:num>
  <w:num w:numId="4" w16cid:durableId="1080058806">
    <w:abstractNumId w:val="7"/>
  </w:num>
  <w:num w:numId="5" w16cid:durableId="154496697">
    <w:abstractNumId w:val="6"/>
  </w:num>
  <w:num w:numId="6" w16cid:durableId="577594950">
    <w:abstractNumId w:val="6"/>
  </w:num>
  <w:num w:numId="7" w16cid:durableId="2114745607">
    <w:abstractNumId w:val="5"/>
  </w:num>
  <w:num w:numId="8" w16cid:durableId="1002438858">
    <w:abstractNumId w:val="5"/>
  </w:num>
  <w:num w:numId="9" w16cid:durableId="1658262645">
    <w:abstractNumId w:val="4"/>
  </w:num>
  <w:num w:numId="10" w16cid:durableId="661203397">
    <w:abstractNumId w:val="4"/>
  </w:num>
  <w:num w:numId="11" w16cid:durableId="1348870440">
    <w:abstractNumId w:val="8"/>
  </w:num>
  <w:num w:numId="12" w16cid:durableId="120076765">
    <w:abstractNumId w:val="8"/>
  </w:num>
  <w:num w:numId="13" w16cid:durableId="657195576">
    <w:abstractNumId w:val="3"/>
  </w:num>
  <w:num w:numId="14" w16cid:durableId="219219244">
    <w:abstractNumId w:val="3"/>
  </w:num>
  <w:num w:numId="15" w16cid:durableId="1838231909">
    <w:abstractNumId w:val="2"/>
  </w:num>
  <w:num w:numId="16" w16cid:durableId="842356870">
    <w:abstractNumId w:val="2"/>
  </w:num>
  <w:num w:numId="17" w16cid:durableId="792674935">
    <w:abstractNumId w:val="1"/>
  </w:num>
  <w:num w:numId="18" w16cid:durableId="1926184768">
    <w:abstractNumId w:val="1"/>
  </w:num>
  <w:num w:numId="19" w16cid:durableId="1991128466">
    <w:abstractNumId w:val="0"/>
  </w:num>
  <w:num w:numId="20" w16cid:durableId="1195848079">
    <w:abstractNumId w:val="0"/>
  </w:num>
  <w:num w:numId="21" w16cid:durableId="1966424664">
    <w:abstractNumId w:val="9"/>
  </w:num>
  <w:num w:numId="22" w16cid:durableId="1218709908">
    <w:abstractNumId w:val="7"/>
  </w:num>
  <w:num w:numId="23" w16cid:durableId="1526165524">
    <w:abstractNumId w:val="6"/>
  </w:num>
  <w:num w:numId="24" w16cid:durableId="1462764645">
    <w:abstractNumId w:val="5"/>
  </w:num>
  <w:num w:numId="25" w16cid:durableId="834760035">
    <w:abstractNumId w:val="4"/>
  </w:num>
  <w:num w:numId="26" w16cid:durableId="949242516">
    <w:abstractNumId w:val="8"/>
  </w:num>
  <w:num w:numId="27" w16cid:durableId="564922345">
    <w:abstractNumId w:val="3"/>
  </w:num>
  <w:num w:numId="28" w16cid:durableId="451629080">
    <w:abstractNumId w:val="2"/>
  </w:num>
  <w:num w:numId="29" w16cid:durableId="542789497">
    <w:abstractNumId w:val="1"/>
  </w:num>
  <w:num w:numId="30" w16cid:durableId="1237203582">
    <w:abstractNumId w:val="0"/>
  </w:num>
  <w:num w:numId="31" w16cid:durableId="1975867515">
    <w:abstractNumId w:val="9"/>
  </w:num>
  <w:num w:numId="32" w16cid:durableId="372775249">
    <w:abstractNumId w:val="7"/>
  </w:num>
  <w:num w:numId="33" w16cid:durableId="1406948585">
    <w:abstractNumId w:val="6"/>
  </w:num>
  <w:num w:numId="34" w16cid:durableId="1743914740">
    <w:abstractNumId w:val="5"/>
  </w:num>
  <w:num w:numId="35" w16cid:durableId="1281761106">
    <w:abstractNumId w:val="4"/>
  </w:num>
  <w:num w:numId="36" w16cid:durableId="1064445703">
    <w:abstractNumId w:val="8"/>
  </w:num>
  <w:num w:numId="37" w16cid:durableId="617876798">
    <w:abstractNumId w:val="3"/>
  </w:num>
  <w:num w:numId="38" w16cid:durableId="1132136277">
    <w:abstractNumId w:val="2"/>
  </w:num>
  <w:num w:numId="39" w16cid:durableId="1201631553">
    <w:abstractNumId w:val="1"/>
  </w:num>
  <w:num w:numId="40" w16cid:durableId="643655875">
    <w:abstractNumId w:val="0"/>
  </w:num>
  <w:num w:numId="41" w16cid:durableId="1263732392">
    <w:abstractNumId w:val="10"/>
  </w:num>
  <w:num w:numId="42" w16cid:durableId="1375813723">
    <w:abstractNumId w:val="10"/>
  </w:num>
  <w:num w:numId="43" w16cid:durableId="2086295996">
    <w:abstractNumId w:val="10"/>
  </w:num>
  <w:num w:numId="44" w16cid:durableId="15476418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6"/>
    <w:docVar w:name="dvlangue" w:val="IT"/>
    <w:docVar w:name="dvnumam" w:val="0"/>
    <w:docVar w:name="dvpe" w:val="790.161"/>
    <w:docVar w:name="dvrapporteur" w:val="Relatrice: "/>
    <w:docVar w:name="dvstar" w:val="***III"/>
    <w:docVar w:name="dvtitre" w:val="Risoluzione legislativa del Parlamento europeo del 7 luglio 2026 sul progetto comune, approvato dal comitato di conciliazione, di regolamento del Parlamento europeo e del Consiglio che modifica il regolamento (CE) n. 261/2004 che istituisce regole comuni in materia di compensazione ed assistenza ai passeggeri in caso di negato imbarco, di cancellazione del volo o di ritardo prolungato e il regolamento (CE) n. 2027/97 sulla responsabilità del vettore aereo in merito al trasporto aereo di passeggeri e dei loro bagagli(PE-CONS 00039/2026 – C10-0144/2026 – 2013/0072(COD))"/>
  </w:docVars>
  <w:rsids>
    <w:rsidRoot w:val="00E40EF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7BC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780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08D"/>
    <w:rsid w:val="00E365E1"/>
    <w:rsid w:val="00E40EFE"/>
    <w:rsid w:val="00E820A4"/>
    <w:rsid w:val="00EB006A"/>
    <w:rsid w:val="00EB4772"/>
    <w:rsid w:val="00ED169E"/>
    <w:rsid w:val="00ED4235"/>
    <w:rsid w:val="00ED558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2C33CB"/>
  <w15:chartTrackingRefBased/>
  <w15:docId w15:val="{F5E4AFAF-DEB6-4437-81DB-3802AD44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5583"/>
    <w:pPr>
      <w:spacing w:before="480" w:after="240"/>
    </w:pPr>
  </w:style>
  <w:style w:type="paragraph" w:customStyle="1" w:styleId="NormalBold">
    <w:name w:val="NormalBold"/>
    <w:basedOn w:val="Normal"/>
    <w:rsid w:val="00ED5583"/>
    <w:rPr>
      <w:b/>
    </w:rPr>
  </w:style>
  <w:style w:type="paragraph" w:customStyle="1" w:styleId="NormalHanging12a">
    <w:name w:val="NormalHanging12a"/>
    <w:basedOn w:val="Normal"/>
    <w:rsid w:val="00ED5583"/>
    <w:pPr>
      <w:spacing w:after="240"/>
      <w:ind w:left="567" w:hanging="567"/>
    </w:pPr>
  </w:style>
  <w:style w:type="character" w:styleId="Hyperlink">
    <w:name w:val="Hyperlink"/>
    <w:basedOn w:val="DefaultParagraphFont"/>
    <w:rsid w:val="00ED558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C308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C308D"/>
    <w:rPr>
      <w:sz w:val="24"/>
      <w:lang w:val="it-IT"/>
    </w:rPr>
  </w:style>
  <w:style w:type="character" w:styleId="CommentReference">
    <w:name w:val="annotation reference"/>
    <w:basedOn w:val="DefaultParagraphFont"/>
    <w:rsid w:val="00DC30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308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C308D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DC3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308D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IT/TXT/?uri=celex%3A52025AG0010%2801%29" TargetMode="External"/><Relationship Id="rId2" Type="http://schemas.openxmlformats.org/officeDocument/2006/relationships/hyperlink" Target="https://eur-lex.europa.eu/legal-content/it/TXT/?uri=celex%3A52014AP0092" TargetMode="External"/><Relationship Id="rId1" Type="http://schemas.openxmlformats.org/officeDocument/2006/relationships/hyperlink" Target="https://eur-lex.europa.eu/legal-content/IT/TXT/?uri=celex:52013AE2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3</cp:revision>
  <cp:lastPrinted>2004-11-19T15:42:00Z</cp:lastPrinted>
  <dcterms:created xsi:type="dcterms:W3CDTF">2026-07-06T08:04:00Z</dcterms:created>
  <dcterms:modified xsi:type="dcterms:W3CDTF">2026-07-07T11:22:00Z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A10-0191/2026</vt:lpwstr>
  </property>
  <property fmtid="{D5CDD505-2E9C-101B-9397-08002B2CF9AE}" pid="4" name="&lt;Type&gt;">
    <vt:lpwstr>RR</vt:lpwstr>
  </property>
</Properties>
</file>