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51438" w14:paraId="2CEF867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F29C867" w14:textId="77777777" w:rsidR="00751A4A" w:rsidRPr="00A51438" w:rsidRDefault="00366088" w:rsidP="0010095E">
            <w:pPr>
              <w:pStyle w:val="EPName"/>
            </w:pPr>
            <w:r w:rsidRPr="00A51438">
              <w:t>Europos Parlamentas</w:t>
            </w:r>
          </w:p>
          <w:p w14:paraId="70F9D29C" w14:textId="77777777" w:rsidR="00751A4A" w:rsidRPr="00A5143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51438">
              <w:t>2024</w:t>
            </w:r>
            <w:r w:rsidR="00817416" w:rsidRPr="00A51438">
              <w:t>-202</w:t>
            </w:r>
            <w:r w:rsidRPr="00A51438">
              <w:t>9</w:t>
            </w:r>
          </w:p>
        </w:tc>
        <w:tc>
          <w:tcPr>
            <w:tcW w:w="2268" w:type="dxa"/>
            <w:shd w:val="clear" w:color="auto" w:fill="auto"/>
          </w:tcPr>
          <w:p w14:paraId="3B11978B" w14:textId="77777777" w:rsidR="00751A4A" w:rsidRPr="00A51438" w:rsidRDefault="00187494" w:rsidP="0010095E">
            <w:pPr>
              <w:pStyle w:val="EPLogo"/>
            </w:pPr>
            <w:r w:rsidRPr="00A51438">
              <w:rPr>
                <w:noProof/>
                <w:lang w:eastAsia="ja-JP"/>
              </w:rPr>
              <w:drawing>
                <wp:inline distT="0" distB="0" distL="0" distR="0" wp14:anchorId="46AEB5AD" wp14:editId="377C811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073ED3" w14:textId="77777777" w:rsidR="00D058B8" w:rsidRPr="00A51438" w:rsidRDefault="00D058B8" w:rsidP="004C5D52">
      <w:pPr>
        <w:pStyle w:val="LineTop"/>
      </w:pPr>
    </w:p>
    <w:p w14:paraId="3D02278D" w14:textId="77777777" w:rsidR="00680577" w:rsidRPr="00A51438" w:rsidRDefault="00366088" w:rsidP="00680577">
      <w:pPr>
        <w:pStyle w:val="EPBodyTA1"/>
      </w:pPr>
      <w:r w:rsidRPr="00A51438">
        <w:t>PRIIMTI TEKSTAI</w:t>
      </w:r>
    </w:p>
    <w:p w14:paraId="16B432A7" w14:textId="77777777" w:rsidR="00D058B8" w:rsidRPr="00A51438" w:rsidRDefault="00D058B8" w:rsidP="00D058B8">
      <w:pPr>
        <w:pStyle w:val="LineBottom"/>
      </w:pPr>
    </w:p>
    <w:p w14:paraId="1A07EFC3" w14:textId="2E1E6EC7" w:rsidR="00366088" w:rsidRPr="00A51438" w:rsidRDefault="00366088" w:rsidP="00366088">
      <w:pPr>
        <w:pStyle w:val="ATHeading1"/>
      </w:pPr>
      <w:bookmarkStart w:id="0" w:name="TANumber"/>
      <w:r w:rsidRPr="00A51438">
        <w:t>P10_TA(2026)0</w:t>
      </w:r>
      <w:r w:rsidR="00A66259">
        <w:t>238</w:t>
      </w:r>
      <w:bookmarkEnd w:id="0"/>
    </w:p>
    <w:p w14:paraId="3D85BD11" w14:textId="56C538FB" w:rsidR="00366088" w:rsidRPr="00A51438" w:rsidRDefault="002B6AC4" w:rsidP="00366088">
      <w:pPr>
        <w:pStyle w:val="ATHeading2"/>
      </w:pPr>
      <w:bookmarkStart w:id="1" w:name="title"/>
      <w:r>
        <w:t>Oro transporto keleivių teisės</w:t>
      </w:r>
      <w:bookmarkEnd w:id="1"/>
    </w:p>
    <w:p w14:paraId="4EB31BFA" w14:textId="77777777" w:rsidR="00366088" w:rsidRPr="00A51438" w:rsidRDefault="00366088" w:rsidP="00366088">
      <w:pPr>
        <w:rPr>
          <w:i/>
          <w:vanish/>
        </w:rPr>
      </w:pPr>
      <w:r w:rsidRPr="00A51438">
        <w:rPr>
          <w:i/>
        </w:rPr>
        <w:fldChar w:fldCharType="begin"/>
      </w:r>
      <w:r w:rsidRPr="00A51438">
        <w:rPr>
          <w:i/>
        </w:rPr>
        <w:instrText xml:space="preserve"> TC"(</w:instrText>
      </w:r>
      <w:bookmarkStart w:id="2" w:name="DocNumber"/>
      <w:r w:rsidRPr="00A51438">
        <w:rPr>
          <w:i/>
        </w:rPr>
        <w:instrText>A10-0191/2026</w:instrText>
      </w:r>
      <w:bookmarkEnd w:id="2"/>
      <w:r w:rsidRPr="00A51438">
        <w:rPr>
          <w:i/>
        </w:rPr>
        <w:instrText xml:space="preserve"> - Pranešėja: Roberta Metsola)"\l3 \n&gt; \* MERGEFORMAT </w:instrText>
      </w:r>
      <w:r w:rsidRPr="00A51438">
        <w:rPr>
          <w:i/>
        </w:rPr>
        <w:fldChar w:fldCharType="end"/>
      </w:r>
    </w:p>
    <w:p w14:paraId="484527C0" w14:textId="77777777" w:rsidR="00366088" w:rsidRPr="00A51438" w:rsidRDefault="00366088" w:rsidP="00366088">
      <w:pPr>
        <w:rPr>
          <w:vanish/>
        </w:rPr>
      </w:pPr>
      <w:bookmarkStart w:id="3" w:name="Commission"/>
      <w:r w:rsidRPr="00A51438">
        <w:rPr>
          <w:vanish/>
        </w:rPr>
        <w:t>Europos Parlamento delegacija Taikinimo komitete</w:t>
      </w:r>
      <w:bookmarkEnd w:id="3"/>
    </w:p>
    <w:p w14:paraId="2012DA1A" w14:textId="77777777" w:rsidR="00366088" w:rsidRPr="00A51438" w:rsidRDefault="00366088" w:rsidP="00366088">
      <w:pPr>
        <w:rPr>
          <w:vanish/>
        </w:rPr>
      </w:pPr>
      <w:bookmarkStart w:id="4" w:name="PE"/>
      <w:r w:rsidRPr="00A51438">
        <w:rPr>
          <w:vanish/>
        </w:rPr>
        <w:t>PE790.161</w:t>
      </w:r>
      <w:bookmarkEnd w:id="4"/>
    </w:p>
    <w:p w14:paraId="0E45D9C3" w14:textId="30330520" w:rsidR="00366088" w:rsidRPr="00A51438" w:rsidRDefault="00366088" w:rsidP="00366088">
      <w:pPr>
        <w:pStyle w:val="ATHeading3"/>
      </w:pPr>
      <w:bookmarkStart w:id="5" w:name="Sujet"/>
      <w:r w:rsidRPr="00A51438">
        <w:t xml:space="preserve">2026 m. </w:t>
      </w:r>
      <w:r w:rsidR="00CF7C77">
        <w:t>liepos</w:t>
      </w:r>
      <w:r w:rsidR="00CF7C77" w:rsidRPr="00A51438">
        <w:t xml:space="preserve"> </w:t>
      </w:r>
      <w:r w:rsidR="00CF7C77">
        <w:t>7</w:t>
      </w:r>
      <w:r w:rsidR="00CF7C77" w:rsidRPr="00A51438">
        <w:t xml:space="preserve"> </w:t>
      </w:r>
      <w:r w:rsidRPr="00A51438">
        <w:t>d. Europos Parlamento teisėkūros rezoliucija dėl Taikinimo komiteto patvirtinto Europos Parlamento ir Tarybos reglamento, kuriuo iš dalies keičiamas Reglamentas (EB) Nr. 261/2004, nustatantis bendras kompensavimo ir pagalbos keleiviams taisykles atsisakymo vežti ir skrydžių atšaukimo arba atidėjimo ilgam laikui atveju, ir Reglamentas (EB) Nr. 2027/97 dėl oro vežėjo atsakomybės už keleivių ir jų bagažo vežimą oru, bendro projekto</w:t>
      </w:r>
      <w:bookmarkEnd w:id="5"/>
      <w:r w:rsidRPr="00A51438">
        <w:t xml:space="preserve"> </w:t>
      </w:r>
      <w:bookmarkStart w:id="6" w:name="References"/>
      <w:r w:rsidRPr="00A51438">
        <w:t>(PE-CONS 00039/2026 – C10-0144/2026 – 2013/0072(COD))</w:t>
      </w:r>
      <w:bookmarkEnd w:id="6"/>
    </w:p>
    <w:p w14:paraId="369EA6B6" w14:textId="77777777" w:rsidR="008348FE" w:rsidRPr="00A51438" w:rsidRDefault="008348FE" w:rsidP="008348FE">
      <w:pPr>
        <w:pStyle w:val="NormalBold"/>
      </w:pPr>
      <w:r w:rsidRPr="00A51438">
        <w:t>(Įprasta teisėkūros procedūra: trečiasis svarstymas)</w:t>
      </w:r>
    </w:p>
    <w:p w14:paraId="7F6E66C2" w14:textId="77777777" w:rsidR="008348FE" w:rsidRPr="00A51438" w:rsidRDefault="008348FE" w:rsidP="008348FE">
      <w:pPr>
        <w:pStyle w:val="EPComma"/>
      </w:pPr>
      <w:r w:rsidRPr="00A51438">
        <w:rPr>
          <w:i/>
          <w:iCs/>
        </w:rPr>
        <w:t>Europos Parlamentas</w:t>
      </w:r>
      <w:r w:rsidRPr="00A51438">
        <w:t>,</w:t>
      </w:r>
    </w:p>
    <w:p w14:paraId="49692E17" w14:textId="77777777" w:rsidR="008348FE" w:rsidRPr="00A51438" w:rsidRDefault="008348FE" w:rsidP="008348FE">
      <w:pPr>
        <w:pStyle w:val="NormalHanging12a"/>
      </w:pPr>
      <w:r w:rsidRPr="00A51438">
        <w:t>–</w:t>
      </w:r>
      <w:r w:rsidRPr="00A51438">
        <w:tab/>
        <w:t>atsižvelgdamas į Taikinimo komiteto patvirtintą bendrą projektą (PE-CONS 00039/2026 – C10</w:t>
      </w:r>
      <w:r w:rsidRPr="00A51438">
        <w:noBreakHyphen/>
        <w:t>0144/2026),</w:t>
      </w:r>
    </w:p>
    <w:p w14:paraId="631A0DE2" w14:textId="77777777" w:rsidR="008348FE" w:rsidRDefault="008348FE" w:rsidP="008348FE">
      <w:pPr>
        <w:pStyle w:val="NormalHanging12a"/>
      </w:pPr>
      <w:r w:rsidRPr="00A51438">
        <w:t>–</w:t>
      </w:r>
      <w:r w:rsidRPr="00A51438">
        <w:tab/>
        <w:t>atsižvelgdamas į 2013 m. liepos 11 d. Europos ekonomikos ir socialinių reikalų komiteto nuomonę</w:t>
      </w:r>
      <w:r w:rsidRPr="00A51438">
        <w:rPr>
          <w:rStyle w:val="FootnoteReference"/>
        </w:rPr>
        <w:footnoteReference w:id="1"/>
      </w:r>
      <w:r w:rsidRPr="00A51438">
        <w:t>,</w:t>
      </w:r>
    </w:p>
    <w:p w14:paraId="2507CB47" w14:textId="2454562A" w:rsidR="00CF7C77" w:rsidRPr="00A51438" w:rsidRDefault="00CF7C77" w:rsidP="008348FE">
      <w:pPr>
        <w:pStyle w:val="NormalHanging12a"/>
      </w:pPr>
      <w:r w:rsidRPr="00A51438">
        <w:t>–</w:t>
      </w:r>
      <w:r w:rsidRPr="00A51438">
        <w:tab/>
      </w:r>
      <w:r>
        <w:t>pasikonsultavęs su Regionų komitetu,</w:t>
      </w:r>
    </w:p>
    <w:p w14:paraId="799375A8" w14:textId="77777777" w:rsidR="008348FE" w:rsidRPr="00A51438" w:rsidRDefault="008348FE" w:rsidP="008348FE">
      <w:pPr>
        <w:pStyle w:val="NormalHanging12a"/>
      </w:pPr>
      <w:r w:rsidRPr="00A51438">
        <w:t>–</w:t>
      </w:r>
      <w:r w:rsidRPr="00A51438">
        <w:tab/>
        <w:t>atsižvelgdamas į savo poziciją dėl Komisijos pasiūlymo Europos Parlamentui ir Tarybai (COM(2013)0130) per pirmąjį svarstymą</w:t>
      </w:r>
      <w:r w:rsidRPr="00A51438">
        <w:rPr>
          <w:rStyle w:val="FootnoteReference"/>
        </w:rPr>
        <w:footnoteReference w:id="2"/>
      </w:r>
      <w:r w:rsidRPr="00A51438">
        <w:t>,</w:t>
      </w:r>
    </w:p>
    <w:p w14:paraId="2915B714" w14:textId="77777777" w:rsidR="008348FE" w:rsidRPr="00A51438" w:rsidRDefault="008348FE" w:rsidP="008348FE">
      <w:pPr>
        <w:pStyle w:val="NormalHanging12a"/>
      </w:pPr>
      <w:r w:rsidRPr="00A51438">
        <w:t>–</w:t>
      </w:r>
      <w:r w:rsidRPr="00A51438">
        <w:tab/>
        <w:t>atsižvelgdamas į per antrąjį svarstymą priimtą savo poziciją</w:t>
      </w:r>
      <w:r w:rsidRPr="00A51438">
        <w:rPr>
          <w:rStyle w:val="FootnoteReference"/>
        </w:rPr>
        <w:footnoteReference w:id="3"/>
      </w:r>
      <w:r w:rsidRPr="00A51438">
        <w:t xml:space="preserve"> dėl per pirmąjį svarstymą priimtos Tarybos pozicijos</w:t>
      </w:r>
      <w:r w:rsidRPr="00A51438">
        <w:rPr>
          <w:rStyle w:val="FootnoteReference"/>
        </w:rPr>
        <w:footnoteReference w:id="4"/>
      </w:r>
      <w:r w:rsidRPr="00A51438">
        <w:t>,</w:t>
      </w:r>
    </w:p>
    <w:p w14:paraId="411D3649" w14:textId="77777777" w:rsidR="008348FE" w:rsidRPr="00A51438" w:rsidRDefault="008348FE" w:rsidP="008348FE">
      <w:pPr>
        <w:pStyle w:val="NormalHanging12a"/>
      </w:pPr>
      <w:r w:rsidRPr="00A51438">
        <w:lastRenderedPageBreak/>
        <w:t>–</w:t>
      </w:r>
      <w:r w:rsidRPr="00A51438">
        <w:tab/>
        <w:t>atsižvelgdamas į Komisijos nuomonę dėl Parlamento pasiūlytų per pirmąjį svarstymą priimtos Tarybos pozicijos pakeitimų (COM(2026)0129),</w:t>
      </w:r>
    </w:p>
    <w:p w14:paraId="18B854F4" w14:textId="77777777" w:rsidR="008348FE" w:rsidRPr="00A51438" w:rsidRDefault="008348FE" w:rsidP="008348FE">
      <w:pPr>
        <w:pStyle w:val="NormalHanging12a"/>
      </w:pPr>
      <w:r w:rsidRPr="00A51438">
        <w:t>–</w:t>
      </w:r>
      <w:r w:rsidRPr="00A51438">
        <w:tab/>
        <w:t>atsižvelgdamas į per antrąjį svarstymą priimtą Tarybos poziciją,</w:t>
      </w:r>
    </w:p>
    <w:p w14:paraId="729FE496" w14:textId="77777777" w:rsidR="008348FE" w:rsidRPr="00A51438" w:rsidRDefault="008348FE" w:rsidP="008348FE">
      <w:pPr>
        <w:pStyle w:val="NormalHanging12a"/>
      </w:pPr>
      <w:r w:rsidRPr="00A51438">
        <w:t>–</w:t>
      </w:r>
      <w:r w:rsidRPr="00A51438">
        <w:tab/>
        <w:t>atsižvelgdamas į Sutarties dėl Europos Sąjungos veikimo 294 straipsnio 13 dalį,</w:t>
      </w:r>
    </w:p>
    <w:p w14:paraId="7B11476C" w14:textId="77777777" w:rsidR="008348FE" w:rsidRPr="00A51438" w:rsidRDefault="008348FE" w:rsidP="008348FE">
      <w:pPr>
        <w:pStyle w:val="NormalHanging12a"/>
      </w:pPr>
      <w:r w:rsidRPr="00A51438">
        <w:t>–</w:t>
      </w:r>
      <w:r w:rsidRPr="00A51438">
        <w:tab/>
        <w:t>atsižvelgdamas į Darbo tvarkos taisyklių 79 straipsnį,</w:t>
      </w:r>
    </w:p>
    <w:p w14:paraId="60EE0107" w14:textId="77777777" w:rsidR="008348FE" w:rsidRPr="00A51438" w:rsidRDefault="008348FE" w:rsidP="008348FE">
      <w:pPr>
        <w:pStyle w:val="NormalHanging12a"/>
      </w:pPr>
      <w:r w:rsidRPr="00A51438">
        <w:t>–</w:t>
      </w:r>
      <w:r w:rsidRPr="00A51438">
        <w:tab/>
        <w:t>atsižvelgdamas į savo delegacijos Taikinimo komitete pranešimą (A10-0191/2026),</w:t>
      </w:r>
    </w:p>
    <w:p w14:paraId="25AA610E" w14:textId="77777777" w:rsidR="008348FE" w:rsidRPr="00A51438" w:rsidRDefault="008348FE" w:rsidP="008348FE">
      <w:pPr>
        <w:pStyle w:val="NormalHanging12a"/>
      </w:pPr>
      <w:r w:rsidRPr="00A51438">
        <w:t>1.</w:t>
      </w:r>
      <w:r w:rsidRPr="00A51438">
        <w:tab/>
        <w:t>pritaria bendram projektui;</w:t>
      </w:r>
    </w:p>
    <w:p w14:paraId="145A2510" w14:textId="77777777" w:rsidR="008348FE" w:rsidRPr="00A51438" w:rsidRDefault="008348FE" w:rsidP="008348FE">
      <w:pPr>
        <w:pStyle w:val="NormalHanging12a"/>
      </w:pPr>
      <w:r w:rsidRPr="00A51438">
        <w:t>2.</w:t>
      </w:r>
      <w:r w:rsidRPr="00A51438">
        <w:tab/>
        <w:t>paveda Pirmininkei pasirašyti aktą su Tarybos Pirmininku pagal Sutarties dėl Europos Sąjungos veikimo 297 straipsnio 1 dalį;</w:t>
      </w:r>
    </w:p>
    <w:p w14:paraId="614C9B85" w14:textId="77777777" w:rsidR="008348FE" w:rsidRPr="00A51438" w:rsidRDefault="008348FE" w:rsidP="008348FE">
      <w:pPr>
        <w:pStyle w:val="NormalHanging12a"/>
      </w:pPr>
      <w:r w:rsidRPr="00A51438">
        <w:t>3.</w:t>
      </w:r>
      <w:r w:rsidRPr="00A51438">
        <w:tab/>
        <w:t xml:space="preserve">paveda generaliniam sekretoriui pasirašyti aktą, patikrinus, ar tinkamai įvykdytos visos procedūros, ir, susitarus su Tarybos generaliniu sekretoriumi, pasirūpinti, kad šis aktas būtų paskelbtas </w:t>
      </w:r>
      <w:r w:rsidRPr="00A51438">
        <w:rPr>
          <w:i/>
          <w:iCs/>
        </w:rPr>
        <w:t>Europos Sąjungos oficialiajame leidinyje</w:t>
      </w:r>
      <w:r w:rsidRPr="00A51438">
        <w:t>;</w:t>
      </w:r>
    </w:p>
    <w:p w14:paraId="019C9A5D" w14:textId="395EDC72" w:rsidR="00E365E1" w:rsidRPr="00A51438" w:rsidRDefault="008348FE" w:rsidP="00E03349">
      <w:pPr>
        <w:pStyle w:val="NormalHanging12a"/>
      </w:pPr>
      <w:r w:rsidRPr="00A51438">
        <w:t>4.</w:t>
      </w:r>
      <w:r w:rsidRPr="00A51438">
        <w:tab/>
        <w:t>paveda Pirmininkei perduoti šią teisėkūros rezoliuciją Tarybai, Komisijai ir nacionaliniams parlamentams.</w:t>
      </w:r>
    </w:p>
    <w:sectPr w:rsidR="00E365E1" w:rsidRPr="00A51438" w:rsidSect="00A514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93AD8" w14:textId="77777777" w:rsidR="00366088" w:rsidRPr="00A51438" w:rsidRDefault="00366088">
      <w:r w:rsidRPr="00A51438">
        <w:separator/>
      </w:r>
    </w:p>
  </w:endnote>
  <w:endnote w:type="continuationSeparator" w:id="0">
    <w:p w14:paraId="02199BE8" w14:textId="77777777" w:rsidR="00366088" w:rsidRPr="00A51438" w:rsidRDefault="00366088">
      <w:r w:rsidRPr="00A514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1F95" w14:textId="77777777" w:rsidR="00064002" w:rsidRPr="00A5143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8D784" w14:textId="77777777" w:rsidR="00064002" w:rsidRPr="00A5143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A310" w14:textId="77777777" w:rsidR="00064002" w:rsidRPr="00A5143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9FB0" w14:textId="77777777" w:rsidR="00366088" w:rsidRPr="00A51438" w:rsidRDefault="00366088">
      <w:r w:rsidRPr="00A51438">
        <w:separator/>
      </w:r>
    </w:p>
  </w:footnote>
  <w:footnote w:type="continuationSeparator" w:id="0">
    <w:p w14:paraId="0E4CDCEB" w14:textId="77777777" w:rsidR="00366088" w:rsidRPr="00A51438" w:rsidRDefault="00366088">
      <w:r w:rsidRPr="00A51438">
        <w:continuationSeparator/>
      </w:r>
    </w:p>
  </w:footnote>
  <w:footnote w:id="1">
    <w:p w14:paraId="7243CDAE" w14:textId="237AF0FD" w:rsidR="008348FE" w:rsidRPr="00A51438" w:rsidRDefault="008348FE" w:rsidP="00A51438">
      <w:pPr>
        <w:pStyle w:val="FootnoteText"/>
        <w:ind w:left="567" w:hanging="567"/>
        <w:rPr>
          <w:sz w:val="24"/>
          <w:lang w:val="lt-LT"/>
        </w:rPr>
      </w:pPr>
      <w:r w:rsidRPr="00A51438">
        <w:rPr>
          <w:rStyle w:val="FootnoteReference"/>
          <w:sz w:val="24"/>
          <w:lang w:val="lt-LT"/>
        </w:rPr>
        <w:footnoteRef/>
      </w:r>
      <w:r w:rsidR="00A51438" w:rsidRPr="00A51438">
        <w:rPr>
          <w:sz w:val="24"/>
          <w:lang w:val="lt-LT"/>
        </w:rPr>
        <w:t xml:space="preserve"> </w:t>
      </w:r>
      <w:r w:rsidR="00A51438" w:rsidRPr="00A51438">
        <w:rPr>
          <w:sz w:val="24"/>
          <w:lang w:val="lt-LT"/>
        </w:rPr>
        <w:tab/>
      </w:r>
      <w:r w:rsidRPr="00A51438">
        <w:rPr>
          <w:sz w:val="24"/>
          <w:lang w:val="lt-LT"/>
        </w:rPr>
        <w:t xml:space="preserve">OL C 327, 2013 11 12, ELI: </w:t>
      </w:r>
      <w:hyperlink r:id="rId1" w:history="1">
        <w:r w:rsidRPr="00A51438">
          <w:rPr>
            <w:rStyle w:val="Hyperlink"/>
            <w:sz w:val="24"/>
            <w:lang w:val="lt-LT"/>
          </w:rPr>
          <w:t>https://eur-lex.europa.eu/legal-content/en/TXT/?uri=celex:52013AE2576</w:t>
        </w:r>
      </w:hyperlink>
      <w:r w:rsidRPr="00A51438">
        <w:rPr>
          <w:sz w:val="24"/>
          <w:lang w:val="lt-LT"/>
        </w:rPr>
        <w:t>.</w:t>
      </w:r>
    </w:p>
  </w:footnote>
  <w:footnote w:id="2">
    <w:p w14:paraId="2E367A22" w14:textId="2E8BC040" w:rsidR="008348FE" w:rsidRPr="00A51438" w:rsidRDefault="008348FE" w:rsidP="00A51438">
      <w:pPr>
        <w:pStyle w:val="FootnoteText"/>
        <w:ind w:left="567" w:hanging="567"/>
        <w:rPr>
          <w:sz w:val="24"/>
          <w:lang w:val="lt-LT"/>
        </w:rPr>
      </w:pPr>
      <w:r w:rsidRPr="00A51438">
        <w:rPr>
          <w:rStyle w:val="FootnoteReference"/>
          <w:sz w:val="24"/>
          <w:lang w:val="lt-LT"/>
        </w:rPr>
        <w:footnoteRef/>
      </w:r>
      <w:r w:rsidR="00A51438" w:rsidRPr="00A51438">
        <w:rPr>
          <w:sz w:val="24"/>
          <w:lang w:val="lt-LT"/>
        </w:rPr>
        <w:t xml:space="preserve"> </w:t>
      </w:r>
      <w:r w:rsidR="00A51438" w:rsidRPr="00A51438">
        <w:rPr>
          <w:sz w:val="24"/>
          <w:lang w:val="lt-LT"/>
        </w:rPr>
        <w:tab/>
      </w:r>
      <w:r w:rsidRPr="00A51438">
        <w:rPr>
          <w:sz w:val="24"/>
          <w:lang w:val="lt-LT"/>
        </w:rPr>
        <w:t xml:space="preserve">OL C 93, 2017 3 24, ELI: </w:t>
      </w:r>
      <w:hyperlink r:id="rId2" w:history="1">
        <w:r w:rsidRPr="00A51438">
          <w:rPr>
            <w:rStyle w:val="Hyperlink"/>
            <w:sz w:val="24"/>
            <w:lang w:val="lt-LT"/>
          </w:rPr>
          <w:t>https://eur-lex.europa.eu/legal-content/EN/TXT/?uri=celex%3A</w:t>
        </w:r>
        <w:r w:rsidRPr="00A51438">
          <w:rPr>
            <w:rStyle w:val="Hyperlink"/>
            <w:sz w:val="24"/>
            <w:lang w:val="lt-LT"/>
          </w:rPr>
          <w:t>5</w:t>
        </w:r>
        <w:r w:rsidRPr="00A51438">
          <w:rPr>
            <w:rStyle w:val="Hyperlink"/>
            <w:sz w:val="24"/>
            <w:lang w:val="lt-LT"/>
          </w:rPr>
          <w:t>2014AP0092</w:t>
        </w:r>
      </w:hyperlink>
      <w:r w:rsidRPr="00A51438">
        <w:rPr>
          <w:sz w:val="24"/>
          <w:lang w:val="lt-LT"/>
        </w:rPr>
        <w:t xml:space="preserve"> / Priimti tekstai 2014 2 5, P7_TA(2014)0092.</w:t>
      </w:r>
    </w:p>
  </w:footnote>
  <w:footnote w:id="3">
    <w:p w14:paraId="7AF82FCF" w14:textId="3D8B8724" w:rsidR="008348FE" w:rsidRPr="00A51438" w:rsidRDefault="008348FE" w:rsidP="00A51438">
      <w:pPr>
        <w:pStyle w:val="FootnoteText"/>
        <w:ind w:left="567" w:hanging="567"/>
        <w:rPr>
          <w:sz w:val="24"/>
          <w:lang w:val="lt-LT"/>
        </w:rPr>
      </w:pPr>
      <w:r w:rsidRPr="00A51438">
        <w:rPr>
          <w:rStyle w:val="FootnoteReference"/>
          <w:sz w:val="24"/>
          <w:lang w:val="lt-LT"/>
        </w:rPr>
        <w:footnoteRef/>
      </w:r>
      <w:r w:rsidR="00A51438" w:rsidRPr="00A51438">
        <w:rPr>
          <w:sz w:val="24"/>
          <w:lang w:val="lt-LT"/>
        </w:rPr>
        <w:t xml:space="preserve"> </w:t>
      </w:r>
      <w:r w:rsidR="00A51438" w:rsidRPr="00A51438">
        <w:rPr>
          <w:sz w:val="24"/>
          <w:lang w:val="lt-LT"/>
        </w:rPr>
        <w:tab/>
      </w:r>
      <w:r w:rsidRPr="00A51438">
        <w:rPr>
          <w:sz w:val="24"/>
          <w:lang w:val="lt-LT"/>
        </w:rPr>
        <w:t>Priimti tekstai, 2026 1 21, P10_TA(2026)0009.</w:t>
      </w:r>
    </w:p>
  </w:footnote>
  <w:footnote w:id="4">
    <w:p w14:paraId="1E4F00A7" w14:textId="364A9661" w:rsidR="008348FE" w:rsidRPr="00A51438" w:rsidRDefault="008348FE" w:rsidP="00A51438">
      <w:pPr>
        <w:pStyle w:val="FootnoteText"/>
        <w:ind w:left="567" w:hanging="567"/>
        <w:rPr>
          <w:sz w:val="24"/>
          <w:lang w:val="lt-LT"/>
        </w:rPr>
      </w:pPr>
      <w:r w:rsidRPr="00A51438">
        <w:rPr>
          <w:rStyle w:val="FootnoteReference"/>
          <w:sz w:val="24"/>
          <w:lang w:val="lt-LT"/>
        </w:rPr>
        <w:footnoteRef/>
      </w:r>
      <w:r w:rsidR="00A51438" w:rsidRPr="00A51438">
        <w:rPr>
          <w:sz w:val="24"/>
          <w:lang w:val="lt-LT"/>
        </w:rPr>
        <w:t xml:space="preserve"> </w:t>
      </w:r>
      <w:r w:rsidR="00A51438" w:rsidRPr="00A51438">
        <w:rPr>
          <w:sz w:val="24"/>
          <w:lang w:val="lt-LT"/>
        </w:rPr>
        <w:tab/>
      </w:r>
      <w:r w:rsidRPr="00A51438">
        <w:rPr>
          <w:sz w:val="24"/>
          <w:lang w:val="lt-LT"/>
        </w:rPr>
        <w:t xml:space="preserve">OL C, C/2025/5782, 2025 10 30, ELI: </w:t>
      </w:r>
      <w:hyperlink r:id="rId3" w:history="1">
        <w:r w:rsidRPr="00A51438">
          <w:rPr>
            <w:rStyle w:val="Hyperlink"/>
            <w:sz w:val="24"/>
            <w:lang w:val="lt-LT"/>
          </w:rPr>
          <w:t>https://eur-lex.europa.eu/legal-content/LT/TXT/?uri=celex%3A52025AG0010%2801%29</w:t>
        </w:r>
      </w:hyperlink>
      <w:r w:rsidRPr="00A51438">
        <w:rPr>
          <w:sz w:val="24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697D" w14:textId="77777777" w:rsidR="00064002" w:rsidRPr="00A5143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2347" w14:textId="77777777" w:rsidR="00064002" w:rsidRPr="00A5143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BE7C" w14:textId="77777777" w:rsidR="00064002" w:rsidRPr="00A5143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62996808">
    <w:abstractNumId w:val="9"/>
  </w:num>
  <w:num w:numId="2" w16cid:durableId="320040520">
    <w:abstractNumId w:val="9"/>
  </w:num>
  <w:num w:numId="3" w16cid:durableId="1251741701">
    <w:abstractNumId w:val="7"/>
  </w:num>
  <w:num w:numId="4" w16cid:durableId="777600237">
    <w:abstractNumId w:val="7"/>
  </w:num>
  <w:num w:numId="5" w16cid:durableId="1852138138">
    <w:abstractNumId w:val="6"/>
  </w:num>
  <w:num w:numId="6" w16cid:durableId="739057759">
    <w:abstractNumId w:val="6"/>
  </w:num>
  <w:num w:numId="7" w16cid:durableId="85469126">
    <w:abstractNumId w:val="5"/>
  </w:num>
  <w:num w:numId="8" w16cid:durableId="1584605218">
    <w:abstractNumId w:val="5"/>
  </w:num>
  <w:num w:numId="9" w16cid:durableId="1096171831">
    <w:abstractNumId w:val="4"/>
  </w:num>
  <w:num w:numId="10" w16cid:durableId="583997538">
    <w:abstractNumId w:val="4"/>
  </w:num>
  <w:num w:numId="11" w16cid:durableId="1208837768">
    <w:abstractNumId w:val="8"/>
  </w:num>
  <w:num w:numId="12" w16cid:durableId="196239693">
    <w:abstractNumId w:val="8"/>
  </w:num>
  <w:num w:numId="13" w16cid:durableId="61293367">
    <w:abstractNumId w:val="3"/>
  </w:num>
  <w:num w:numId="14" w16cid:durableId="2094429804">
    <w:abstractNumId w:val="3"/>
  </w:num>
  <w:num w:numId="15" w16cid:durableId="1614441648">
    <w:abstractNumId w:val="2"/>
  </w:num>
  <w:num w:numId="16" w16cid:durableId="1254436678">
    <w:abstractNumId w:val="2"/>
  </w:num>
  <w:num w:numId="17" w16cid:durableId="28771346">
    <w:abstractNumId w:val="1"/>
  </w:num>
  <w:num w:numId="18" w16cid:durableId="1462112990">
    <w:abstractNumId w:val="1"/>
  </w:num>
  <w:num w:numId="19" w16cid:durableId="1852258243">
    <w:abstractNumId w:val="0"/>
  </w:num>
  <w:num w:numId="20" w16cid:durableId="731733918">
    <w:abstractNumId w:val="0"/>
  </w:num>
  <w:num w:numId="21" w16cid:durableId="1800219385">
    <w:abstractNumId w:val="9"/>
  </w:num>
  <w:num w:numId="22" w16cid:durableId="892429793">
    <w:abstractNumId w:val="7"/>
  </w:num>
  <w:num w:numId="23" w16cid:durableId="650404863">
    <w:abstractNumId w:val="6"/>
  </w:num>
  <w:num w:numId="24" w16cid:durableId="999187579">
    <w:abstractNumId w:val="5"/>
  </w:num>
  <w:num w:numId="25" w16cid:durableId="968437890">
    <w:abstractNumId w:val="4"/>
  </w:num>
  <w:num w:numId="26" w16cid:durableId="1942184211">
    <w:abstractNumId w:val="8"/>
  </w:num>
  <w:num w:numId="27" w16cid:durableId="1731995026">
    <w:abstractNumId w:val="3"/>
  </w:num>
  <w:num w:numId="28" w16cid:durableId="908461584">
    <w:abstractNumId w:val="2"/>
  </w:num>
  <w:num w:numId="29" w16cid:durableId="1419473689">
    <w:abstractNumId w:val="1"/>
  </w:num>
  <w:num w:numId="30" w16cid:durableId="898592159">
    <w:abstractNumId w:val="0"/>
  </w:num>
  <w:num w:numId="31" w16cid:durableId="1299069274">
    <w:abstractNumId w:val="9"/>
  </w:num>
  <w:num w:numId="32" w16cid:durableId="809060228">
    <w:abstractNumId w:val="7"/>
  </w:num>
  <w:num w:numId="33" w16cid:durableId="407390357">
    <w:abstractNumId w:val="6"/>
  </w:num>
  <w:num w:numId="34" w16cid:durableId="1032537390">
    <w:abstractNumId w:val="5"/>
  </w:num>
  <w:num w:numId="35" w16cid:durableId="1597205298">
    <w:abstractNumId w:val="4"/>
  </w:num>
  <w:num w:numId="36" w16cid:durableId="2073236141">
    <w:abstractNumId w:val="8"/>
  </w:num>
  <w:num w:numId="37" w16cid:durableId="1452624524">
    <w:abstractNumId w:val="3"/>
  </w:num>
  <w:num w:numId="38" w16cid:durableId="1504778379">
    <w:abstractNumId w:val="2"/>
  </w:num>
  <w:num w:numId="39" w16cid:durableId="1816023091">
    <w:abstractNumId w:val="1"/>
  </w:num>
  <w:num w:numId="40" w16cid:durableId="1298610208">
    <w:abstractNumId w:val="0"/>
  </w:num>
  <w:num w:numId="41" w16cid:durableId="1914732276">
    <w:abstractNumId w:val="10"/>
  </w:num>
  <w:num w:numId="42" w16cid:durableId="1895503159">
    <w:abstractNumId w:val="10"/>
  </w:num>
  <w:num w:numId="43" w16cid:durableId="1135030893">
    <w:abstractNumId w:val="10"/>
  </w:num>
  <w:num w:numId="44" w16cid:durableId="113909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LT"/>
    <w:docVar w:name="dvnumam" w:val="0"/>
    <w:docVar w:name="dvpe" w:val="790.161"/>
    <w:docVar w:name="dvrapporteur" w:val="Pranešėja: "/>
    <w:docVar w:name="dvstar" w:val="***III"/>
    <w:docVar w:name="dvtitre" w:val="2026 m. ... ... d. Europos Parlamento teisėkūros rezoliucija dėl Taikinimo komiteto patvirtinto Europos Parlamento ir Tarybos reglamento, kuriuo iš dalies keičiamas Reglamentas (EB) Nr. 261/2004, nustatantis bendras kompensavimo ir pagalbos keleiviams taisykles atsisakymo vežti ir skrydžių atšaukimo arba atidėjimo ilgam laikui atveju, ir Reglamentas (EB) Nr. 2027/97 dėl oro vežėjo atsakomybės už keleivių ir jų bagažo vežimą oru, bendro projekto(PE-CONS 00039/2026 – C10-0144/2026 – 2013/0072(COD))"/>
  </w:docVars>
  <w:rsids>
    <w:rsidRoot w:val="00366088"/>
    <w:rsid w:val="00002272"/>
    <w:rsid w:val="00064002"/>
    <w:rsid w:val="000677B9"/>
    <w:rsid w:val="000831BA"/>
    <w:rsid w:val="000A42CC"/>
    <w:rsid w:val="000E7DD9"/>
    <w:rsid w:val="0010095E"/>
    <w:rsid w:val="00124B61"/>
    <w:rsid w:val="00125B37"/>
    <w:rsid w:val="00187494"/>
    <w:rsid w:val="001F32AE"/>
    <w:rsid w:val="002767FF"/>
    <w:rsid w:val="002B18FE"/>
    <w:rsid w:val="002B5493"/>
    <w:rsid w:val="002B58EC"/>
    <w:rsid w:val="002B6AC4"/>
    <w:rsid w:val="00343214"/>
    <w:rsid w:val="00361C00"/>
    <w:rsid w:val="00366088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2462"/>
    <w:rsid w:val="007E22AD"/>
    <w:rsid w:val="00817416"/>
    <w:rsid w:val="008348FE"/>
    <w:rsid w:val="00842779"/>
    <w:rsid w:val="00865F67"/>
    <w:rsid w:val="00881A7B"/>
    <w:rsid w:val="008840E5"/>
    <w:rsid w:val="00887B3E"/>
    <w:rsid w:val="008C2AC6"/>
    <w:rsid w:val="00930C23"/>
    <w:rsid w:val="0093193B"/>
    <w:rsid w:val="00940ED4"/>
    <w:rsid w:val="009509D8"/>
    <w:rsid w:val="00950B64"/>
    <w:rsid w:val="00981893"/>
    <w:rsid w:val="00A1687D"/>
    <w:rsid w:val="00A43E52"/>
    <w:rsid w:val="00A4678D"/>
    <w:rsid w:val="00A51438"/>
    <w:rsid w:val="00A66259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7C77"/>
    <w:rsid w:val="00D058B8"/>
    <w:rsid w:val="00D56C11"/>
    <w:rsid w:val="00D834A0"/>
    <w:rsid w:val="00D872DF"/>
    <w:rsid w:val="00D91E21"/>
    <w:rsid w:val="00DA7FCD"/>
    <w:rsid w:val="00E03349"/>
    <w:rsid w:val="00E365E1"/>
    <w:rsid w:val="00E820A4"/>
    <w:rsid w:val="00E94336"/>
    <w:rsid w:val="00EB006A"/>
    <w:rsid w:val="00EB4772"/>
    <w:rsid w:val="00ED169E"/>
    <w:rsid w:val="00ED4235"/>
    <w:rsid w:val="00F03710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817C1"/>
  <w15:chartTrackingRefBased/>
  <w15:docId w15:val="{FBA4A419-9419-41A8-A5E7-DF9DB4B1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348FE"/>
    <w:pPr>
      <w:spacing w:before="480" w:after="240"/>
    </w:pPr>
  </w:style>
  <w:style w:type="paragraph" w:customStyle="1" w:styleId="NormalBold">
    <w:name w:val="NormalBold"/>
    <w:basedOn w:val="Normal"/>
    <w:rsid w:val="008348FE"/>
    <w:rPr>
      <w:b/>
    </w:rPr>
  </w:style>
  <w:style w:type="paragraph" w:customStyle="1" w:styleId="NormalHanging12a">
    <w:name w:val="NormalHanging12a"/>
    <w:basedOn w:val="Normal"/>
    <w:rsid w:val="008348FE"/>
    <w:pPr>
      <w:spacing w:after="240"/>
      <w:ind w:left="567" w:hanging="567"/>
    </w:pPr>
  </w:style>
  <w:style w:type="character" w:styleId="Hyperlink">
    <w:name w:val="Hyperlink"/>
    <w:basedOn w:val="DefaultParagraphFont"/>
    <w:rsid w:val="008348F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F7C77"/>
    <w:rPr>
      <w:sz w:val="24"/>
      <w:lang w:val="lt-LT"/>
    </w:rPr>
  </w:style>
  <w:style w:type="character" w:styleId="FollowedHyperlink">
    <w:name w:val="FollowedHyperlink"/>
    <w:basedOn w:val="DefaultParagraphFont"/>
    <w:rsid w:val="00E033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LT/TXT/?uri=celex%3A52025AG0010%2801%29" TargetMode="External"/><Relationship Id="rId2" Type="http://schemas.openxmlformats.org/officeDocument/2006/relationships/hyperlink" Target="https://eur-lex.europa.eu/legal-content/LT/TXT/?uri=celex%3A52014AP0092" TargetMode="External"/><Relationship Id="rId1" Type="http://schemas.openxmlformats.org/officeDocument/2006/relationships/hyperlink" Target="https://eur-lex.europa.eu/legal-content/en/TXT/?uri=celex:52013AE2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BINKEVICIUTE Aurelija</cp:lastModifiedBy>
  <cp:revision>2</cp:revision>
  <cp:lastPrinted>2004-11-19T15:42:00Z</cp:lastPrinted>
  <dcterms:created xsi:type="dcterms:W3CDTF">2026-07-07T10:13:00Z</dcterms:created>
  <dcterms:modified xsi:type="dcterms:W3CDTF">2026-07-07T10:13:00Z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A10-0191/2026</vt:lpwstr>
  </property>
  <property fmtid="{D5CDD505-2E9C-101B-9397-08002B2CF9AE}" pid="4" name="&lt;Type&gt;">
    <vt:lpwstr>RR</vt:lpwstr>
  </property>
</Properties>
</file>