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18F3" w14:paraId="3AB2CA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43BAE3" w14:textId="77777777" w:rsidR="00751A4A" w:rsidRPr="005018F3" w:rsidRDefault="00093ECA" w:rsidP="0010095E">
            <w:pPr>
              <w:pStyle w:val="EPName"/>
            </w:pPr>
            <w:r w:rsidRPr="005018F3">
              <w:t>Eiropas Parlaments</w:t>
            </w:r>
          </w:p>
          <w:p w14:paraId="02656272" w14:textId="77777777" w:rsidR="00751A4A" w:rsidRPr="005018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18F3">
              <w:t>2024</w:t>
            </w:r>
            <w:r w:rsidR="00817416" w:rsidRPr="005018F3">
              <w:t>-202</w:t>
            </w:r>
            <w:r w:rsidRPr="005018F3">
              <w:t>9</w:t>
            </w:r>
          </w:p>
        </w:tc>
        <w:tc>
          <w:tcPr>
            <w:tcW w:w="2268" w:type="dxa"/>
            <w:shd w:val="clear" w:color="auto" w:fill="auto"/>
          </w:tcPr>
          <w:p w14:paraId="067E69F0" w14:textId="77777777" w:rsidR="00751A4A" w:rsidRPr="005018F3" w:rsidRDefault="00187494" w:rsidP="0010095E">
            <w:pPr>
              <w:pStyle w:val="EPLogo"/>
            </w:pPr>
            <w:r w:rsidRPr="005018F3">
              <w:rPr>
                <w:noProof/>
                <w:lang w:eastAsia="ja-JP"/>
              </w:rPr>
              <w:drawing>
                <wp:inline distT="0" distB="0" distL="0" distR="0" wp14:anchorId="7812605C" wp14:editId="740793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097E9A" w14:textId="77777777" w:rsidR="00D058B8" w:rsidRPr="005018F3" w:rsidRDefault="00D058B8" w:rsidP="004C5D52">
      <w:pPr>
        <w:pStyle w:val="LineTop"/>
      </w:pPr>
    </w:p>
    <w:p w14:paraId="1F4AD967" w14:textId="77777777" w:rsidR="00680577" w:rsidRPr="005018F3" w:rsidRDefault="00093ECA" w:rsidP="00680577">
      <w:pPr>
        <w:pStyle w:val="EPBodyTA1"/>
      </w:pPr>
      <w:r w:rsidRPr="005018F3">
        <w:t>PIEŅEMTIE TEKSTI</w:t>
      </w:r>
    </w:p>
    <w:p w14:paraId="1582F6D9" w14:textId="77777777" w:rsidR="00D058B8" w:rsidRPr="005018F3" w:rsidRDefault="00D058B8" w:rsidP="00D058B8">
      <w:pPr>
        <w:pStyle w:val="LineBottom"/>
      </w:pPr>
    </w:p>
    <w:p w14:paraId="5C449FAC" w14:textId="29780B4C" w:rsidR="00093ECA" w:rsidRPr="005018F3" w:rsidRDefault="00093ECA" w:rsidP="00093ECA">
      <w:pPr>
        <w:pStyle w:val="ATHeading1"/>
      </w:pPr>
      <w:bookmarkStart w:id="0" w:name="TANumber"/>
      <w:r w:rsidRPr="005018F3">
        <w:t>P10_TA(2026)0</w:t>
      </w:r>
      <w:bookmarkEnd w:id="0"/>
      <w:r w:rsidR="005018F3" w:rsidRPr="005018F3">
        <w:t>238</w:t>
      </w:r>
    </w:p>
    <w:p w14:paraId="4FAE7634" w14:textId="77777777" w:rsidR="00093ECA" w:rsidRPr="005018F3" w:rsidRDefault="00093ECA" w:rsidP="00093ECA">
      <w:pPr>
        <w:pStyle w:val="ATHeading2"/>
      </w:pPr>
      <w:bookmarkStart w:id="1" w:name="title"/>
      <w:proofErr w:type="spellStart"/>
      <w:r w:rsidRPr="005018F3">
        <w:t>Aviopasažieru</w:t>
      </w:r>
      <w:proofErr w:type="spellEnd"/>
      <w:r w:rsidRPr="005018F3">
        <w:t xml:space="preserve"> tiesības</w:t>
      </w:r>
      <w:bookmarkEnd w:id="1"/>
    </w:p>
    <w:p w14:paraId="72F9983B" w14:textId="4E362E92" w:rsidR="00093ECA" w:rsidRPr="005018F3" w:rsidRDefault="00093ECA" w:rsidP="00093ECA">
      <w:pPr>
        <w:rPr>
          <w:i/>
          <w:vanish/>
        </w:rPr>
      </w:pPr>
      <w:r w:rsidRPr="005018F3">
        <w:rPr>
          <w:i/>
        </w:rPr>
        <w:fldChar w:fldCharType="begin"/>
      </w:r>
      <w:r w:rsidRPr="005018F3">
        <w:rPr>
          <w:i/>
        </w:rPr>
        <w:instrText xml:space="preserve"> TC"(</w:instrText>
      </w:r>
      <w:bookmarkStart w:id="2" w:name="DocNumber"/>
      <w:r w:rsidRPr="005018F3">
        <w:rPr>
          <w:i/>
        </w:rPr>
        <w:instrText>A10-0191/2026</w:instrText>
      </w:r>
      <w:bookmarkEnd w:id="2"/>
      <w:r w:rsidRPr="005018F3">
        <w:rPr>
          <w:i/>
        </w:rPr>
        <w:instrText xml:space="preserve"> - Referents: </w:instrText>
      </w:r>
      <w:proofErr w:type="spellStart"/>
      <w:r w:rsidR="00E173CD" w:rsidRPr="005018F3">
        <w:rPr>
          <w:i/>
        </w:rPr>
        <w:instrText>Andrey</w:instrText>
      </w:r>
      <w:proofErr w:type="spellEnd"/>
      <w:r w:rsidR="00E173CD" w:rsidRPr="005018F3">
        <w:rPr>
          <w:i/>
        </w:rPr>
        <w:instrText xml:space="preserve"> </w:instrText>
      </w:r>
      <w:proofErr w:type="spellStart"/>
      <w:r w:rsidR="00E173CD" w:rsidRPr="005018F3">
        <w:rPr>
          <w:i/>
        </w:rPr>
        <w:instrText>Novakov</w:instrText>
      </w:r>
      <w:proofErr w:type="spellEnd"/>
      <w:r w:rsidRPr="005018F3">
        <w:rPr>
          <w:i/>
        </w:rPr>
        <w:instrText xml:space="preserve">)"\l3 \n&gt; \* MERGEFORMAT </w:instrText>
      </w:r>
      <w:r w:rsidRPr="005018F3">
        <w:rPr>
          <w:i/>
        </w:rPr>
        <w:fldChar w:fldCharType="end"/>
      </w:r>
    </w:p>
    <w:p w14:paraId="6C520C7D" w14:textId="77777777" w:rsidR="00093ECA" w:rsidRPr="005018F3" w:rsidRDefault="00093ECA" w:rsidP="00093ECA">
      <w:pPr>
        <w:rPr>
          <w:vanish/>
        </w:rPr>
      </w:pPr>
      <w:bookmarkStart w:id="3" w:name="Commission"/>
      <w:r w:rsidRPr="005018F3">
        <w:rPr>
          <w:vanish/>
        </w:rPr>
        <w:t>Eiropas Parlamenta delegācija Samierināšanas komitejā</w:t>
      </w:r>
      <w:bookmarkEnd w:id="3"/>
    </w:p>
    <w:p w14:paraId="22B5F765" w14:textId="77777777" w:rsidR="00093ECA" w:rsidRPr="005018F3" w:rsidRDefault="00093ECA" w:rsidP="00093ECA">
      <w:pPr>
        <w:rPr>
          <w:vanish/>
        </w:rPr>
      </w:pPr>
      <w:bookmarkStart w:id="4" w:name="PE"/>
      <w:r w:rsidRPr="005018F3">
        <w:rPr>
          <w:vanish/>
        </w:rPr>
        <w:t>PE790.161</w:t>
      </w:r>
      <w:bookmarkEnd w:id="4"/>
    </w:p>
    <w:p w14:paraId="39E0AB65" w14:textId="7AC7C9E5" w:rsidR="00093ECA" w:rsidRPr="005018F3" w:rsidRDefault="00093ECA" w:rsidP="00093ECA">
      <w:pPr>
        <w:pStyle w:val="ATHeading3"/>
      </w:pPr>
      <w:bookmarkStart w:id="5" w:name="Sujet"/>
      <w:r w:rsidRPr="005018F3">
        <w:t xml:space="preserve">Eiropas Parlamenta 2026. gada </w:t>
      </w:r>
      <w:r w:rsidR="00E173CD" w:rsidRPr="005018F3">
        <w:t>7</w:t>
      </w:r>
      <w:r w:rsidRPr="005018F3">
        <w:t xml:space="preserve">. </w:t>
      </w:r>
      <w:r w:rsidR="00E173CD" w:rsidRPr="005018F3">
        <w:t>jūlija</w:t>
      </w:r>
      <w:r w:rsidRPr="005018F3">
        <w:t xml:space="preserve"> normatīvā rezolūcija par Samierināšanas komitejas apstiprināto kopīgo dokumentu Eiropas Parlamenta un Padomes regulai, ar kuru groza Regulu (EK) Nr. 261/2004, ar ko paredz kopīgus noteikumus par kompensāciju un atbalstu pasažieriem sakarā ar iekāpšanas atteikumu un lidojumu atcelšanu vai ilgu kavēšanos, un Regulu (EK) Nr. 2027/97 par gaisa pārvadātāju atbildību, veicot pasažieru un viņu bagāžas gaisa pārvadājumus</w:t>
      </w:r>
      <w:bookmarkEnd w:id="5"/>
      <w:r w:rsidRPr="005018F3">
        <w:t xml:space="preserve"> </w:t>
      </w:r>
      <w:bookmarkStart w:id="6" w:name="References"/>
      <w:r w:rsidRPr="005018F3">
        <w:t>(PE-CONS 00039/2026 – C10-0144/2026 – 2013/0072(COD))</w:t>
      </w:r>
      <w:bookmarkEnd w:id="6"/>
    </w:p>
    <w:p w14:paraId="52DF1F14" w14:textId="0FA568F0" w:rsidR="004E13DC" w:rsidRPr="005018F3" w:rsidRDefault="004E13DC" w:rsidP="004E13DC">
      <w:pPr>
        <w:pStyle w:val="NormalBold"/>
      </w:pPr>
      <w:r w:rsidRPr="005018F3">
        <w:t>(Parastā likumdošanas procedūra</w:t>
      </w:r>
      <w:r w:rsidR="00E173CD" w:rsidRPr="005018F3">
        <w:t>:</w:t>
      </w:r>
      <w:r w:rsidRPr="005018F3">
        <w:t xml:space="preserve"> trešais lasījums)</w:t>
      </w:r>
    </w:p>
    <w:p w14:paraId="54B8113D" w14:textId="77777777" w:rsidR="004E13DC" w:rsidRPr="005018F3" w:rsidRDefault="004E13DC" w:rsidP="004E13DC">
      <w:pPr>
        <w:pStyle w:val="EPComma"/>
      </w:pPr>
      <w:r w:rsidRPr="005018F3">
        <w:rPr>
          <w:i/>
          <w:iCs/>
        </w:rPr>
        <w:t>Eiropas Parlaments</w:t>
      </w:r>
      <w:r w:rsidRPr="005018F3">
        <w:t>,</w:t>
      </w:r>
    </w:p>
    <w:p w14:paraId="347A3C3C" w14:textId="36C77220" w:rsidR="004E13DC" w:rsidRPr="005018F3" w:rsidRDefault="004E13DC" w:rsidP="004E13DC">
      <w:pPr>
        <w:pStyle w:val="NormalHanging12a"/>
      </w:pPr>
      <w:r w:rsidRPr="005018F3">
        <w:t>–</w:t>
      </w:r>
      <w:r w:rsidRPr="005018F3">
        <w:tab/>
      </w:r>
      <w:r w:rsidR="00E173CD" w:rsidRPr="005018F3">
        <w:t>ņemot vērā kopīgo dokumentu, ko apstiprinājusi Samierināšanas komiteja</w:t>
      </w:r>
      <w:r w:rsidRPr="005018F3">
        <w:t xml:space="preserve"> (PE-CONS 00039/2026 – C10</w:t>
      </w:r>
      <w:r w:rsidRPr="005018F3">
        <w:noBreakHyphen/>
        <w:t>0144/2026),</w:t>
      </w:r>
    </w:p>
    <w:p w14:paraId="506592ED" w14:textId="77777777" w:rsidR="004E13DC" w:rsidRPr="005018F3" w:rsidRDefault="004E13DC" w:rsidP="004E13DC">
      <w:pPr>
        <w:pStyle w:val="NormalHanging12a"/>
      </w:pPr>
      <w:r w:rsidRPr="005018F3">
        <w:t>–</w:t>
      </w:r>
      <w:r w:rsidRPr="005018F3">
        <w:tab/>
        <w:t>ņemot vērā Eiropas Ekonomikas un sociālo lietu komitejas 2013. gada 11. jūlija atzinumu</w:t>
      </w:r>
      <w:r w:rsidRPr="005018F3">
        <w:rPr>
          <w:rStyle w:val="FootnoteReference"/>
        </w:rPr>
        <w:footnoteReference w:id="1"/>
      </w:r>
      <w:r w:rsidRPr="005018F3">
        <w:t>,</w:t>
      </w:r>
    </w:p>
    <w:p w14:paraId="75743CB2" w14:textId="62D3DF9A" w:rsidR="00E173CD" w:rsidRPr="005018F3" w:rsidRDefault="00E173CD" w:rsidP="004E13DC">
      <w:pPr>
        <w:pStyle w:val="NormalHanging12a"/>
      </w:pPr>
      <w:r w:rsidRPr="005018F3">
        <w:t>–</w:t>
      </w:r>
      <w:r w:rsidRPr="005018F3">
        <w:tab/>
        <w:t>pēc apspriešanās ar Reģionu komiteju,</w:t>
      </w:r>
    </w:p>
    <w:p w14:paraId="63C272B9" w14:textId="77777777" w:rsidR="004E13DC" w:rsidRPr="005018F3" w:rsidRDefault="004E13DC" w:rsidP="004E13DC">
      <w:pPr>
        <w:pStyle w:val="NormalHanging12a"/>
      </w:pPr>
      <w:r w:rsidRPr="005018F3">
        <w:t>–</w:t>
      </w:r>
      <w:r w:rsidRPr="005018F3">
        <w:tab/>
        <w:t>ņemot vērā Parlamenta nostāju pirmajā lasījumā</w:t>
      </w:r>
      <w:r w:rsidRPr="005018F3">
        <w:rPr>
          <w:rStyle w:val="FootnoteReference"/>
        </w:rPr>
        <w:footnoteReference w:id="2"/>
      </w:r>
      <w:r w:rsidRPr="005018F3">
        <w:t xml:space="preserve"> attiecībā uz Komisijas priekšlikumu Eiropas Parlamentam un Padomei (COM(2013)0130),</w:t>
      </w:r>
    </w:p>
    <w:p w14:paraId="35B8213D" w14:textId="77777777" w:rsidR="004E13DC" w:rsidRPr="005018F3" w:rsidRDefault="004E13DC" w:rsidP="004E13DC">
      <w:pPr>
        <w:pStyle w:val="NormalHanging12a"/>
      </w:pPr>
      <w:r w:rsidRPr="005018F3">
        <w:t>–</w:t>
      </w:r>
      <w:r w:rsidRPr="005018F3">
        <w:tab/>
        <w:t>ņemot vērā Parlamenta nostāju otrajā lasījumā</w:t>
      </w:r>
      <w:r w:rsidRPr="005018F3">
        <w:rPr>
          <w:rStyle w:val="FootnoteReference"/>
        </w:rPr>
        <w:footnoteReference w:id="3"/>
      </w:r>
      <w:r w:rsidRPr="005018F3">
        <w:t xml:space="preserve"> attiecībā uz Padomes nostāju pirmajā lasījumā</w:t>
      </w:r>
      <w:r w:rsidRPr="005018F3">
        <w:rPr>
          <w:rStyle w:val="FootnoteReference"/>
        </w:rPr>
        <w:footnoteReference w:id="4"/>
      </w:r>
      <w:r w:rsidRPr="005018F3">
        <w:t>,</w:t>
      </w:r>
    </w:p>
    <w:p w14:paraId="73DFE890" w14:textId="77777777" w:rsidR="004E13DC" w:rsidRPr="005018F3" w:rsidRDefault="004E13DC" w:rsidP="004E13DC">
      <w:pPr>
        <w:pStyle w:val="NormalHanging12a"/>
      </w:pPr>
      <w:r w:rsidRPr="005018F3">
        <w:lastRenderedPageBreak/>
        <w:t>–</w:t>
      </w:r>
      <w:r w:rsidRPr="005018F3">
        <w:tab/>
        <w:t xml:space="preserve">ņemot vērā Komisijas sniegto atzinumu par Parlamenta grozījumiem Padomes </w:t>
      </w:r>
      <w:proofErr w:type="spellStart"/>
      <w:r w:rsidRPr="005018F3">
        <w:t>nostājā</w:t>
      </w:r>
      <w:proofErr w:type="spellEnd"/>
      <w:r w:rsidRPr="005018F3">
        <w:t xml:space="preserve"> pirmajā lasījumā (COM(2026)0129),</w:t>
      </w:r>
    </w:p>
    <w:p w14:paraId="6FE9E07C" w14:textId="77777777" w:rsidR="004E13DC" w:rsidRPr="005018F3" w:rsidRDefault="004E13DC" w:rsidP="004E13DC">
      <w:pPr>
        <w:pStyle w:val="NormalHanging12a"/>
      </w:pPr>
      <w:r w:rsidRPr="005018F3">
        <w:t>–</w:t>
      </w:r>
      <w:r w:rsidRPr="005018F3">
        <w:tab/>
        <w:t>ņemot vērā Padomes nostāju otrajā lasījumā,</w:t>
      </w:r>
    </w:p>
    <w:p w14:paraId="7A55DEC4" w14:textId="77777777" w:rsidR="004E13DC" w:rsidRPr="005018F3" w:rsidRDefault="004E13DC" w:rsidP="004E13DC">
      <w:pPr>
        <w:pStyle w:val="NormalHanging12a"/>
      </w:pPr>
      <w:r w:rsidRPr="005018F3">
        <w:t>–</w:t>
      </w:r>
      <w:r w:rsidRPr="005018F3">
        <w:tab/>
        <w:t>ņemot vērā Līguma par Eiropas Savienības darbību 294. panta 13. punktu,</w:t>
      </w:r>
    </w:p>
    <w:p w14:paraId="4B5010CB" w14:textId="77777777" w:rsidR="004E13DC" w:rsidRPr="005018F3" w:rsidRDefault="004E13DC" w:rsidP="004E13DC">
      <w:pPr>
        <w:pStyle w:val="NormalHanging12a"/>
      </w:pPr>
      <w:r w:rsidRPr="005018F3">
        <w:t>–</w:t>
      </w:r>
      <w:r w:rsidRPr="005018F3">
        <w:tab/>
        <w:t>ņemot vērā Reglamenta 79. pantu,</w:t>
      </w:r>
    </w:p>
    <w:p w14:paraId="59A124DF" w14:textId="77777777" w:rsidR="004E13DC" w:rsidRPr="005018F3" w:rsidRDefault="004E13DC" w:rsidP="004E13DC">
      <w:pPr>
        <w:pStyle w:val="NormalHanging12a"/>
      </w:pPr>
      <w:r w:rsidRPr="005018F3">
        <w:t>–</w:t>
      </w:r>
      <w:r w:rsidRPr="005018F3">
        <w:tab/>
        <w:t>ņemot vērā ziņojumu, ko sagatavoja Parlamenta delegācija Samierināšanas komitejā (A10-0191/2026),</w:t>
      </w:r>
    </w:p>
    <w:p w14:paraId="161052C9" w14:textId="77777777" w:rsidR="004E13DC" w:rsidRPr="005018F3" w:rsidRDefault="004E13DC" w:rsidP="004E13DC">
      <w:pPr>
        <w:pStyle w:val="NormalHanging12a"/>
      </w:pPr>
      <w:r w:rsidRPr="005018F3">
        <w:t>1.</w:t>
      </w:r>
      <w:r w:rsidRPr="005018F3">
        <w:tab/>
        <w:t>apstiprina kopīgo dokumentu;</w:t>
      </w:r>
    </w:p>
    <w:p w14:paraId="0B449F59" w14:textId="77777777" w:rsidR="004E13DC" w:rsidRPr="005018F3" w:rsidRDefault="004E13DC" w:rsidP="004E13DC">
      <w:pPr>
        <w:pStyle w:val="NormalHanging12a"/>
      </w:pPr>
      <w:r w:rsidRPr="005018F3">
        <w:t>2.</w:t>
      </w:r>
      <w:r w:rsidRPr="005018F3">
        <w:tab/>
        <w:t>uzdod priekšsēdētājai parakstīt aktu kopā ar Padomes priekšsēdētāju saskaņā ar Līguma par Eiropas Savienības darbību 297. panta 1. punktu;</w:t>
      </w:r>
    </w:p>
    <w:p w14:paraId="62A1C0E4" w14:textId="5BB0A06D" w:rsidR="004E13DC" w:rsidRPr="005018F3" w:rsidRDefault="004E13DC" w:rsidP="004E13DC">
      <w:pPr>
        <w:pStyle w:val="NormalHanging12a"/>
      </w:pPr>
      <w:r w:rsidRPr="005018F3">
        <w:t>3.</w:t>
      </w:r>
      <w:r w:rsidRPr="005018F3">
        <w:tab/>
        <w:t xml:space="preserve">uzdod ģenerālsekretāram aktu parakstīt pēc tam, kad viņš būs pārbaudījis, ka ir ievērotas visas procedūras, un pēc saskaņošanas ar Padomes ģenerālsekretāri nodrošināt tā publicēšanu </w:t>
      </w:r>
      <w:r w:rsidRPr="005018F3">
        <w:rPr>
          <w:i/>
          <w:iCs/>
        </w:rPr>
        <w:t>Eiropas Savienības Oficiālajā Vēstnesī</w:t>
      </w:r>
      <w:r w:rsidRPr="005018F3">
        <w:t>;</w:t>
      </w:r>
    </w:p>
    <w:p w14:paraId="7271E76E" w14:textId="1877E115" w:rsidR="007A572F" w:rsidRPr="005018F3" w:rsidRDefault="004E13DC" w:rsidP="007A572F">
      <w:pPr>
        <w:pStyle w:val="NormalHanging12a"/>
      </w:pPr>
      <w:r w:rsidRPr="005018F3">
        <w:t>4.</w:t>
      </w:r>
      <w:r w:rsidRPr="005018F3">
        <w:tab/>
        <w:t>uzdod priekšsēdētājai šo normatīvo rezolūciju nosūtīt Padomei un Komisijai, kā arī dalībvalstu parlamentiem.</w:t>
      </w:r>
    </w:p>
    <w:p w14:paraId="15C0507C" w14:textId="188BABC0" w:rsidR="00E365E1" w:rsidRPr="005018F3" w:rsidRDefault="00E365E1" w:rsidP="00093ECA"/>
    <w:sectPr w:rsidR="00E365E1" w:rsidRPr="005018F3" w:rsidSect="007A57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D856D" w14:textId="77777777" w:rsidR="00093ECA" w:rsidRPr="007A572F" w:rsidRDefault="00093ECA">
      <w:r w:rsidRPr="007A572F">
        <w:separator/>
      </w:r>
    </w:p>
  </w:endnote>
  <w:endnote w:type="continuationSeparator" w:id="0">
    <w:p w14:paraId="51562AF8" w14:textId="77777777" w:rsidR="00093ECA" w:rsidRPr="007A572F" w:rsidRDefault="00093ECA">
      <w:r w:rsidRPr="007A57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CB864" w14:textId="77777777" w:rsidR="00064002" w:rsidRPr="007A57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7B40" w14:textId="77777777" w:rsidR="00064002" w:rsidRPr="007A57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7C87" w14:textId="77777777" w:rsidR="00064002" w:rsidRPr="007A57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C4BCF" w14:textId="77777777" w:rsidR="00093ECA" w:rsidRPr="007A572F" w:rsidRDefault="00093ECA">
      <w:r w:rsidRPr="007A572F">
        <w:separator/>
      </w:r>
    </w:p>
  </w:footnote>
  <w:footnote w:type="continuationSeparator" w:id="0">
    <w:p w14:paraId="3B6EDF32" w14:textId="77777777" w:rsidR="00093ECA" w:rsidRPr="007A572F" w:rsidRDefault="00093ECA">
      <w:r w:rsidRPr="007A572F">
        <w:continuationSeparator/>
      </w:r>
    </w:p>
  </w:footnote>
  <w:footnote w:id="1">
    <w:p w14:paraId="218F238E" w14:textId="4EBDD60B" w:rsidR="004E13DC" w:rsidRPr="007A572F" w:rsidRDefault="004E13DC" w:rsidP="007A572F">
      <w:pPr>
        <w:pStyle w:val="FootnoteText"/>
        <w:ind w:left="567" w:hanging="567"/>
        <w:rPr>
          <w:sz w:val="24"/>
          <w:lang w:val="lv-LV"/>
        </w:rPr>
      </w:pPr>
      <w:r w:rsidRPr="007A572F">
        <w:rPr>
          <w:rStyle w:val="FootnoteReference"/>
          <w:sz w:val="24"/>
          <w:lang w:val="lv-LV"/>
        </w:rPr>
        <w:footnoteRef/>
      </w:r>
      <w:r w:rsidR="007A572F" w:rsidRPr="007A572F">
        <w:rPr>
          <w:sz w:val="24"/>
          <w:lang w:val="lv-LV"/>
        </w:rPr>
        <w:t xml:space="preserve"> </w:t>
      </w:r>
      <w:r w:rsidR="007A572F" w:rsidRPr="007A572F">
        <w:rPr>
          <w:sz w:val="24"/>
          <w:lang w:val="lv-LV"/>
        </w:rPr>
        <w:tab/>
      </w:r>
      <w:r w:rsidRPr="007A572F">
        <w:rPr>
          <w:sz w:val="24"/>
          <w:lang w:val="lv-LV"/>
        </w:rPr>
        <w:t xml:space="preserve">OV L 327, 12.11.2013., 1. lpp., ELI: </w:t>
      </w:r>
      <w:hyperlink r:id="rId1" w:history="1">
        <w:r w:rsidRPr="007A572F">
          <w:rPr>
            <w:rStyle w:val="Hyperlink"/>
            <w:sz w:val="24"/>
            <w:lang w:val="lv-LV"/>
          </w:rPr>
          <w:t>https://eur-lex.europa.eu/legal-content/LV/TXT/?uri=celex%3A52013AE2576</w:t>
        </w:r>
      </w:hyperlink>
      <w:r w:rsidRPr="007A572F">
        <w:rPr>
          <w:sz w:val="24"/>
          <w:lang w:val="lv-LV"/>
        </w:rPr>
        <w:t>.</w:t>
      </w:r>
    </w:p>
  </w:footnote>
  <w:footnote w:id="2">
    <w:p w14:paraId="0B53C8C5" w14:textId="3CF0EE69" w:rsidR="004E13DC" w:rsidRPr="007A572F" w:rsidRDefault="004E13DC" w:rsidP="007A572F">
      <w:pPr>
        <w:pStyle w:val="FootnoteText"/>
        <w:ind w:left="567" w:hanging="567"/>
        <w:rPr>
          <w:sz w:val="24"/>
          <w:lang w:val="lv-LV"/>
        </w:rPr>
      </w:pPr>
      <w:r w:rsidRPr="007A572F">
        <w:rPr>
          <w:rStyle w:val="FootnoteReference"/>
          <w:sz w:val="24"/>
          <w:lang w:val="lv-LV"/>
        </w:rPr>
        <w:footnoteRef/>
      </w:r>
      <w:r w:rsidR="007A572F" w:rsidRPr="007A572F">
        <w:rPr>
          <w:sz w:val="24"/>
          <w:lang w:val="lv-LV"/>
        </w:rPr>
        <w:t xml:space="preserve"> </w:t>
      </w:r>
      <w:r w:rsidR="007A572F" w:rsidRPr="007A572F">
        <w:rPr>
          <w:sz w:val="24"/>
          <w:lang w:val="lv-LV"/>
        </w:rPr>
        <w:tab/>
      </w:r>
      <w:r w:rsidRPr="007A572F">
        <w:rPr>
          <w:sz w:val="24"/>
          <w:lang w:val="lv-LV"/>
        </w:rPr>
        <w:t>OV C 93, 24.3.2017., 1. </w:t>
      </w:r>
      <w:r w:rsidRPr="007A572F">
        <w:rPr>
          <w:sz w:val="24"/>
          <w:lang w:val="lv-LV"/>
        </w:rPr>
        <w:t xml:space="preserve">lpp., ELI: </w:t>
      </w:r>
      <w:hyperlink r:id="rId2" w:history="1">
        <w:r w:rsidRPr="007A572F">
          <w:rPr>
            <w:rStyle w:val="Hyperlink"/>
            <w:sz w:val="24"/>
            <w:lang w:val="lv-LV"/>
          </w:rPr>
          <w:t>https://eur-lex.europa.eu/legal-content/LV/TXT/?uri=celex%3A52014AP0092</w:t>
        </w:r>
      </w:hyperlink>
      <w:r w:rsidRPr="007A572F">
        <w:rPr>
          <w:sz w:val="24"/>
          <w:lang w:val="lv-LV"/>
        </w:rPr>
        <w:t xml:space="preserve"> / Pieņemtie teksti 5.2.2014, P7_TA(2014)0092.</w:t>
      </w:r>
    </w:p>
  </w:footnote>
  <w:footnote w:id="3">
    <w:p w14:paraId="2849DA4D" w14:textId="7DF54FD1" w:rsidR="004E13DC" w:rsidRPr="007A572F" w:rsidRDefault="004E13DC" w:rsidP="007A572F">
      <w:pPr>
        <w:pStyle w:val="FootnoteText"/>
        <w:ind w:left="567" w:hanging="567"/>
        <w:rPr>
          <w:sz w:val="24"/>
          <w:lang w:val="lv-LV"/>
        </w:rPr>
      </w:pPr>
      <w:r w:rsidRPr="007A572F">
        <w:rPr>
          <w:rStyle w:val="FootnoteReference"/>
          <w:sz w:val="24"/>
          <w:lang w:val="lv-LV"/>
        </w:rPr>
        <w:footnoteRef/>
      </w:r>
      <w:r w:rsidR="007A572F" w:rsidRPr="007A572F">
        <w:rPr>
          <w:sz w:val="24"/>
          <w:lang w:val="lv-LV"/>
        </w:rPr>
        <w:t xml:space="preserve"> </w:t>
      </w:r>
      <w:r w:rsidR="007A572F" w:rsidRPr="007A572F">
        <w:rPr>
          <w:sz w:val="24"/>
          <w:lang w:val="lv-LV"/>
        </w:rPr>
        <w:tab/>
      </w:r>
      <w:r w:rsidRPr="007A572F">
        <w:rPr>
          <w:sz w:val="24"/>
          <w:lang w:val="lv-LV"/>
        </w:rPr>
        <w:t>Pieņemtie teksti, 21.1.2026., P10_TA(2026)0009.</w:t>
      </w:r>
    </w:p>
  </w:footnote>
  <w:footnote w:id="4">
    <w:p w14:paraId="3448804F" w14:textId="0234156C" w:rsidR="004E13DC" w:rsidRPr="007A572F" w:rsidRDefault="004E13DC" w:rsidP="007A572F">
      <w:pPr>
        <w:pStyle w:val="FootnoteText"/>
        <w:ind w:left="567" w:hanging="567"/>
        <w:rPr>
          <w:sz w:val="24"/>
          <w:lang w:val="lv-LV"/>
        </w:rPr>
      </w:pPr>
      <w:r w:rsidRPr="007A572F">
        <w:rPr>
          <w:rStyle w:val="FootnoteReference"/>
          <w:sz w:val="24"/>
          <w:lang w:val="lv-LV"/>
        </w:rPr>
        <w:footnoteRef/>
      </w:r>
      <w:r w:rsidR="007A572F" w:rsidRPr="007A572F">
        <w:rPr>
          <w:sz w:val="24"/>
          <w:lang w:val="lv-LV"/>
        </w:rPr>
        <w:t xml:space="preserve"> </w:t>
      </w:r>
      <w:r w:rsidR="007A572F" w:rsidRPr="007A572F">
        <w:rPr>
          <w:sz w:val="24"/>
          <w:lang w:val="lv-LV"/>
        </w:rPr>
        <w:tab/>
      </w:r>
      <w:r w:rsidRPr="007A572F">
        <w:rPr>
          <w:sz w:val="24"/>
          <w:lang w:val="lv-LV"/>
        </w:rPr>
        <w:t xml:space="preserve">OV C, C/2025/5782, 30.10.2025., ELI: </w:t>
      </w:r>
      <w:hyperlink r:id="rId3" w:history="1">
        <w:r w:rsidRPr="007A572F">
          <w:rPr>
            <w:rStyle w:val="Hyperlink"/>
            <w:sz w:val="24"/>
            <w:lang w:val="lv-LV"/>
          </w:rPr>
          <w:t>https://eur-lex.europa.eu/legal-content/LV/TXT/?uri=celex%3A52025AG0010%2801%29</w:t>
        </w:r>
      </w:hyperlink>
      <w:r w:rsidRPr="007A572F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485EB" w14:textId="77777777" w:rsidR="00064002" w:rsidRPr="007A57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5166F" w14:textId="77777777" w:rsidR="00064002" w:rsidRPr="007A57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D7308" w14:textId="77777777" w:rsidR="00064002" w:rsidRPr="007A57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9309005">
    <w:abstractNumId w:val="9"/>
  </w:num>
  <w:num w:numId="2" w16cid:durableId="1459950273">
    <w:abstractNumId w:val="9"/>
  </w:num>
  <w:num w:numId="3" w16cid:durableId="1964992669">
    <w:abstractNumId w:val="7"/>
  </w:num>
  <w:num w:numId="4" w16cid:durableId="396707594">
    <w:abstractNumId w:val="7"/>
  </w:num>
  <w:num w:numId="5" w16cid:durableId="1463770743">
    <w:abstractNumId w:val="6"/>
  </w:num>
  <w:num w:numId="6" w16cid:durableId="2125801813">
    <w:abstractNumId w:val="6"/>
  </w:num>
  <w:num w:numId="7" w16cid:durableId="1926064947">
    <w:abstractNumId w:val="5"/>
  </w:num>
  <w:num w:numId="8" w16cid:durableId="919674917">
    <w:abstractNumId w:val="5"/>
  </w:num>
  <w:num w:numId="9" w16cid:durableId="1815366859">
    <w:abstractNumId w:val="4"/>
  </w:num>
  <w:num w:numId="10" w16cid:durableId="1675761828">
    <w:abstractNumId w:val="4"/>
  </w:num>
  <w:num w:numId="11" w16cid:durableId="2003770893">
    <w:abstractNumId w:val="8"/>
  </w:num>
  <w:num w:numId="12" w16cid:durableId="92820719">
    <w:abstractNumId w:val="8"/>
  </w:num>
  <w:num w:numId="13" w16cid:durableId="115950243">
    <w:abstractNumId w:val="3"/>
  </w:num>
  <w:num w:numId="14" w16cid:durableId="900823209">
    <w:abstractNumId w:val="3"/>
  </w:num>
  <w:num w:numId="15" w16cid:durableId="769740831">
    <w:abstractNumId w:val="2"/>
  </w:num>
  <w:num w:numId="16" w16cid:durableId="398941146">
    <w:abstractNumId w:val="2"/>
  </w:num>
  <w:num w:numId="17" w16cid:durableId="1341469956">
    <w:abstractNumId w:val="1"/>
  </w:num>
  <w:num w:numId="18" w16cid:durableId="810245637">
    <w:abstractNumId w:val="1"/>
  </w:num>
  <w:num w:numId="19" w16cid:durableId="29258276">
    <w:abstractNumId w:val="0"/>
  </w:num>
  <w:num w:numId="20" w16cid:durableId="1478185464">
    <w:abstractNumId w:val="0"/>
  </w:num>
  <w:num w:numId="21" w16cid:durableId="1464349140">
    <w:abstractNumId w:val="9"/>
  </w:num>
  <w:num w:numId="22" w16cid:durableId="1881818521">
    <w:abstractNumId w:val="7"/>
  </w:num>
  <w:num w:numId="23" w16cid:durableId="2009400650">
    <w:abstractNumId w:val="6"/>
  </w:num>
  <w:num w:numId="24" w16cid:durableId="1659263549">
    <w:abstractNumId w:val="5"/>
  </w:num>
  <w:num w:numId="25" w16cid:durableId="851991036">
    <w:abstractNumId w:val="4"/>
  </w:num>
  <w:num w:numId="26" w16cid:durableId="20478876">
    <w:abstractNumId w:val="8"/>
  </w:num>
  <w:num w:numId="27" w16cid:durableId="1486119464">
    <w:abstractNumId w:val="3"/>
  </w:num>
  <w:num w:numId="28" w16cid:durableId="217056196">
    <w:abstractNumId w:val="2"/>
  </w:num>
  <w:num w:numId="29" w16cid:durableId="892236686">
    <w:abstractNumId w:val="1"/>
  </w:num>
  <w:num w:numId="30" w16cid:durableId="1523860802">
    <w:abstractNumId w:val="0"/>
  </w:num>
  <w:num w:numId="31" w16cid:durableId="1294482657">
    <w:abstractNumId w:val="9"/>
  </w:num>
  <w:num w:numId="32" w16cid:durableId="1058867435">
    <w:abstractNumId w:val="7"/>
  </w:num>
  <w:num w:numId="33" w16cid:durableId="1964263128">
    <w:abstractNumId w:val="6"/>
  </w:num>
  <w:num w:numId="34" w16cid:durableId="483552664">
    <w:abstractNumId w:val="5"/>
  </w:num>
  <w:num w:numId="35" w16cid:durableId="210312707">
    <w:abstractNumId w:val="4"/>
  </w:num>
  <w:num w:numId="36" w16cid:durableId="404303834">
    <w:abstractNumId w:val="8"/>
  </w:num>
  <w:num w:numId="37" w16cid:durableId="148177252">
    <w:abstractNumId w:val="3"/>
  </w:num>
  <w:num w:numId="38" w16cid:durableId="1431438393">
    <w:abstractNumId w:val="2"/>
  </w:num>
  <w:num w:numId="39" w16cid:durableId="862324304">
    <w:abstractNumId w:val="1"/>
  </w:num>
  <w:num w:numId="40" w16cid:durableId="1279222206">
    <w:abstractNumId w:val="0"/>
  </w:num>
  <w:num w:numId="41" w16cid:durableId="1287782774">
    <w:abstractNumId w:val="10"/>
  </w:num>
  <w:num w:numId="42" w16cid:durableId="546143517">
    <w:abstractNumId w:val="10"/>
  </w:num>
  <w:num w:numId="43" w16cid:durableId="1086028536">
    <w:abstractNumId w:val="10"/>
  </w:num>
  <w:num w:numId="44" w16cid:durableId="19949867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LV"/>
    <w:docVar w:name="dvnumam" w:val="0"/>
    <w:docVar w:name="dvpe" w:val="790.161"/>
    <w:docVar w:name="dvrapporteur" w:val="Referents: "/>
    <w:docVar w:name="dvstar" w:val="***III"/>
    <w:docVar w:name="dvtitre" w:val="Eiropas Parlamenta 2026. gada XX. XXX normatīvā rezolūcija par Samierināšanas komitejas apstiprināto kopīgo dokumentu Eiropas Parlamenta un Padomes regulai, ar kuru groza Regulu (EK) Nr. 261/2004, ar ko paredz kopīgus noteikumus par kompensāciju un atbalstu pasažieriem sakarā ar iekāpšanas atteikumu un lidojumu atcelšanu vai ilgu kavēšanos, un Regulu (EK) Nr. 2027/97 par gaisa pārvadātāju atbildību, veicot pasažieru un viņu bagāžas gaisa pārvadājumus(PE-CONS 00039/2026 – C10-0144/2026 – 2013/0072(COD))"/>
  </w:docVars>
  <w:rsids>
    <w:rsidRoot w:val="00093ECA"/>
    <w:rsid w:val="00002272"/>
    <w:rsid w:val="00064002"/>
    <w:rsid w:val="000677B9"/>
    <w:rsid w:val="000831BA"/>
    <w:rsid w:val="00093EC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0BA3"/>
    <w:rsid w:val="00411CCE"/>
    <w:rsid w:val="0041666E"/>
    <w:rsid w:val="00421060"/>
    <w:rsid w:val="00471C19"/>
    <w:rsid w:val="004867E3"/>
    <w:rsid w:val="00494A28"/>
    <w:rsid w:val="004C0004"/>
    <w:rsid w:val="004C5D52"/>
    <w:rsid w:val="004E13DC"/>
    <w:rsid w:val="005018F3"/>
    <w:rsid w:val="0050519A"/>
    <w:rsid w:val="005072A1"/>
    <w:rsid w:val="00514517"/>
    <w:rsid w:val="00545827"/>
    <w:rsid w:val="00560270"/>
    <w:rsid w:val="005C2568"/>
    <w:rsid w:val="005F1B17"/>
    <w:rsid w:val="006037C0"/>
    <w:rsid w:val="0060512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72F"/>
    <w:rsid w:val="007D1690"/>
    <w:rsid w:val="007E22AD"/>
    <w:rsid w:val="007E2BDE"/>
    <w:rsid w:val="00817416"/>
    <w:rsid w:val="00842779"/>
    <w:rsid w:val="00865F67"/>
    <w:rsid w:val="00881A7B"/>
    <w:rsid w:val="0088211F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2C4"/>
    <w:rsid w:val="00D56C11"/>
    <w:rsid w:val="00D834A0"/>
    <w:rsid w:val="00D872DF"/>
    <w:rsid w:val="00D91E21"/>
    <w:rsid w:val="00DA7FCD"/>
    <w:rsid w:val="00E173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43A58"/>
  <w15:chartTrackingRefBased/>
  <w15:docId w15:val="{34998534-E59E-430D-A47F-CFD2F2EC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13DC"/>
    <w:pPr>
      <w:spacing w:before="480" w:after="240"/>
    </w:pPr>
  </w:style>
  <w:style w:type="paragraph" w:customStyle="1" w:styleId="NormalBold">
    <w:name w:val="NormalBold"/>
    <w:basedOn w:val="Normal"/>
    <w:rsid w:val="004E13DC"/>
    <w:rPr>
      <w:b/>
    </w:rPr>
  </w:style>
  <w:style w:type="paragraph" w:customStyle="1" w:styleId="NormalBold12a">
    <w:name w:val="NormalBold12a"/>
    <w:basedOn w:val="Normal"/>
    <w:rsid w:val="004E13D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E13DC"/>
    <w:pPr>
      <w:spacing w:after="240"/>
      <w:ind w:left="567" w:hanging="567"/>
    </w:pPr>
  </w:style>
  <w:style w:type="character" w:styleId="Hyperlink">
    <w:name w:val="Hyperlink"/>
    <w:basedOn w:val="DefaultParagraphFont"/>
    <w:rsid w:val="004E13D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173CD"/>
    <w:rPr>
      <w:sz w:val="24"/>
      <w:lang w:val="lv-LV"/>
    </w:rPr>
  </w:style>
  <w:style w:type="character" w:styleId="CommentReference">
    <w:name w:val="annotation reference"/>
    <w:basedOn w:val="DefaultParagraphFont"/>
    <w:rsid w:val="007E2B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2B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2BDE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7E2B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2BDE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LV/TXT/?uri=celex%3A52025AG0010%2801%29" TargetMode="External"/><Relationship Id="rId2" Type="http://schemas.openxmlformats.org/officeDocument/2006/relationships/hyperlink" Target="https://eur-lex.europa.eu/legal-content/LV/TXT/?uri=celex%3A52014AP0092" TargetMode="External"/><Relationship Id="rId1" Type="http://schemas.openxmlformats.org/officeDocument/2006/relationships/hyperlink" Target="https://eur-lex.europa.eu/legal-content/LV/TXT/?uri=celex%3A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1918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2026-07-07T09:42:00Z</dcterms:created>
  <dcterms:modified xsi:type="dcterms:W3CDTF">2026-07-07T09:42:00Z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