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BE5" w14:paraId="009043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55F5F9" w14:textId="77777777" w:rsidR="00751A4A" w:rsidRPr="003F5BE5" w:rsidRDefault="007C5867" w:rsidP="0010095E">
            <w:pPr>
              <w:pStyle w:val="EPName"/>
            </w:pPr>
            <w:r w:rsidRPr="003F5BE5">
              <w:t>Parlament Ewropew</w:t>
            </w:r>
          </w:p>
          <w:p w14:paraId="61CA0FDF" w14:textId="77777777" w:rsidR="00751A4A" w:rsidRPr="003F5B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BE5">
              <w:t>2024</w:t>
            </w:r>
            <w:r w:rsidR="00817416" w:rsidRPr="003F5BE5">
              <w:t>-202</w:t>
            </w:r>
            <w:r w:rsidRPr="003F5BE5">
              <w:t>9</w:t>
            </w:r>
          </w:p>
        </w:tc>
        <w:tc>
          <w:tcPr>
            <w:tcW w:w="2268" w:type="dxa"/>
            <w:shd w:val="clear" w:color="auto" w:fill="auto"/>
          </w:tcPr>
          <w:p w14:paraId="1FCFC39E" w14:textId="77777777" w:rsidR="00751A4A" w:rsidRPr="003F5BE5" w:rsidRDefault="00187494" w:rsidP="0010095E">
            <w:pPr>
              <w:pStyle w:val="EPLogo"/>
            </w:pPr>
            <w:r w:rsidRPr="003F5BE5">
              <w:rPr>
                <w:noProof/>
                <w:lang w:eastAsia="ja-JP"/>
              </w:rPr>
              <w:drawing>
                <wp:inline distT="0" distB="0" distL="0" distR="0" wp14:anchorId="3A6C1FB1" wp14:editId="61088F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CC9DF" w14:textId="77777777" w:rsidR="00D058B8" w:rsidRPr="003F5BE5" w:rsidRDefault="00D058B8" w:rsidP="004C5D52">
      <w:pPr>
        <w:pStyle w:val="LineTop"/>
      </w:pPr>
    </w:p>
    <w:p w14:paraId="035952B3" w14:textId="77777777" w:rsidR="00680577" w:rsidRPr="003F5BE5" w:rsidRDefault="007C5867" w:rsidP="00680577">
      <w:pPr>
        <w:pStyle w:val="EPBodyTA1"/>
      </w:pPr>
      <w:r w:rsidRPr="003F5BE5">
        <w:t>TESTI ADOTTATI</w:t>
      </w:r>
    </w:p>
    <w:p w14:paraId="14C63E13" w14:textId="77777777" w:rsidR="00D058B8" w:rsidRPr="003F5BE5" w:rsidRDefault="00D058B8" w:rsidP="00D058B8">
      <w:pPr>
        <w:pStyle w:val="LineBottom"/>
      </w:pPr>
    </w:p>
    <w:p w14:paraId="1448165A" w14:textId="03831ED2" w:rsidR="007C5867" w:rsidRPr="003F5BE5" w:rsidRDefault="007C5867" w:rsidP="007C5867">
      <w:pPr>
        <w:pStyle w:val="ATHeading1"/>
      </w:pPr>
      <w:bookmarkStart w:id="0" w:name="TANumber"/>
      <w:r w:rsidRPr="003F5BE5">
        <w:t>P10_TA(2026)0</w:t>
      </w:r>
      <w:r w:rsidR="007608B7">
        <w:t>238</w:t>
      </w:r>
      <w:bookmarkEnd w:id="0"/>
    </w:p>
    <w:p w14:paraId="2C8E3E0F" w14:textId="7F2A61AF" w:rsidR="007C5867" w:rsidRPr="003F5BE5" w:rsidRDefault="00046544" w:rsidP="007C5867">
      <w:pPr>
        <w:pStyle w:val="ATHeading2"/>
      </w:pPr>
      <w:bookmarkStart w:id="1" w:name="title"/>
      <w:bookmarkStart w:id="2" w:name="_Hlk234318684"/>
      <w:r>
        <w:t>Id-d</w:t>
      </w:r>
      <w:r w:rsidR="007C5867" w:rsidRPr="003F5BE5">
        <w:t>rittijiet tal-passiġġieri tal-ajru</w:t>
      </w:r>
      <w:bookmarkEnd w:id="1"/>
    </w:p>
    <w:bookmarkEnd w:id="2"/>
    <w:p w14:paraId="67EF843D" w14:textId="77777777" w:rsidR="007C5867" w:rsidRPr="003F5BE5" w:rsidRDefault="007C5867" w:rsidP="007C5867">
      <w:pPr>
        <w:rPr>
          <w:i/>
          <w:vanish/>
        </w:rPr>
      </w:pPr>
      <w:r w:rsidRPr="003F5BE5">
        <w:rPr>
          <w:i/>
        </w:rPr>
        <w:fldChar w:fldCharType="begin"/>
      </w:r>
      <w:r w:rsidRPr="003F5BE5">
        <w:rPr>
          <w:i/>
        </w:rPr>
        <w:instrText xml:space="preserve"> TC"(</w:instrText>
      </w:r>
      <w:bookmarkStart w:id="3" w:name="DocNumber"/>
      <w:r w:rsidRPr="003F5BE5">
        <w:rPr>
          <w:i/>
        </w:rPr>
        <w:instrText>A10-0191/2026</w:instrText>
      </w:r>
      <w:bookmarkEnd w:id="3"/>
      <w:r w:rsidRPr="003F5BE5">
        <w:rPr>
          <w:i/>
        </w:rPr>
        <w:instrText xml:space="preserve"> - Rapporteur: Roberta Metsola)"\l3 \n&gt; \* MERGEFORMAT </w:instrText>
      </w:r>
      <w:r w:rsidRPr="003F5BE5">
        <w:rPr>
          <w:i/>
        </w:rPr>
        <w:fldChar w:fldCharType="end"/>
      </w:r>
    </w:p>
    <w:p w14:paraId="6AB0FA3D" w14:textId="77777777" w:rsidR="007C5867" w:rsidRPr="003F5BE5" w:rsidRDefault="007C5867" w:rsidP="007C5867">
      <w:pPr>
        <w:rPr>
          <w:vanish/>
        </w:rPr>
      </w:pPr>
      <w:bookmarkStart w:id="4" w:name="Commission"/>
      <w:r w:rsidRPr="003F5BE5">
        <w:rPr>
          <w:vanish/>
        </w:rPr>
        <w:t>Delegazzjoni tal-Parlament Ewropew għall-Kumitat ta’ Konċiljazzjoni</w:t>
      </w:r>
      <w:bookmarkEnd w:id="4"/>
    </w:p>
    <w:p w14:paraId="227CED73" w14:textId="77777777" w:rsidR="007C5867" w:rsidRPr="003F5BE5" w:rsidRDefault="007C5867" w:rsidP="007C5867">
      <w:pPr>
        <w:rPr>
          <w:vanish/>
        </w:rPr>
      </w:pPr>
      <w:bookmarkStart w:id="5" w:name="PE"/>
      <w:r w:rsidRPr="003F5BE5">
        <w:rPr>
          <w:vanish/>
        </w:rPr>
        <w:t>PE790.161</w:t>
      </w:r>
      <w:bookmarkEnd w:id="5"/>
    </w:p>
    <w:p w14:paraId="2DAE0ED9" w14:textId="48D7F1C3" w:rsidR="007C5867" w:rsidRPr="003F5BE5" w:rsidRDefault="007C5867" w:rsidP="007C5867">
      <w:pPr>
        <w:pStyle w:val="ATHeading3"/>
      </w:pPr>
      <w:bookmarkStart w:id="6" w:name="Sujet"/>
      <w:r w:rsidRPr="003F5BE5">
        <w:t xml:space="preserve">Riżoluzzjoni leġiżlattiva tal-Parlament Ewropew </w:t>
      </w:r>
      <w:r w:rsidR="000E29D7">
        <w:t>tas-7 ta’ Lulju</w:t>
      </w:r>
      <w:r w:rsidRPr="003F5BE5">
        <w:t xml:space="preserve"> 2026 dwar it-test konġunt, approvat mill-Kumitat ta’ Konċiljazzjoni, ta’ regolament tal-Parlament Ewropew u tal-Kunsill li jemenda r-Regolament (KE) Nru 261/2004 li jistabbilixxi regoli komuni dwar il-kumpens u l-assistenza għal passiġġieri fil-każ li ma jitħallewx jitilgħu u ta’ kanċellazzjoni jew dewmien twil ta’ titjiriet, u r-Regolament (KE) Nru 2027/97 dwar ir-responsabbiltà ta’ trasportaturi bl-ajru, fejn jidħol it-trasport bl-ajru tal-passiġġieri u l-bagalji tagħhom</w:t>
      </w:r>
      <w:bookmarkEnd w:id="6"/>
      <w:r w:rsidRPr="003F5BE5">
        <w:t xml:space="preserve"> </w:t>
      </w:r>
      <w:bookmarkStart w:id="7" w:name="References"/>
      <w:r w:rsidRPr="003F5BE5">
        <w:t>(PE-CONS 00039/2026 – C10-0144/2026 – 2013/0072(COD))</w:t>
      </w:r>
      <w:bookmarkEnd w:id="7"/>
    </w:p>
    <w:p w14:paraId="477A73C2" w14:textId="77777777" w:rsidR="00893C07" w:rsidRPr="003F5BE5" w:rsidRDefault="00893C07" w:rsidP="00893C07">
      <w:pPr>
        <w:pStyle w:val="NormalBold"/>
      </w:pPr>
      <w:r w:rsidRPr="003F5BE5">
        <w:t>(Proċedura leġiżlattiva ordinarja: it-tielet qari)</w:t>
      </w:r>
    </w:p>
    <w:p w14:paraId="3FB7AF45" w14:textId="77777777" w:rsidR="00893C07" w:rsidRPr="003F5BE5" w:rsidRDefault="00893C07" w:rsidP="00893C07">
      <w:pPr>
        <w:pStyle w:val="EPComma"/>
      </w:pPr>
      <w:r w:rsidRPr="003F5BE5">
        <w:rPr>
          <w:i/>
        </w:rPr>
        <w:t>Il-Parlament Ewropew,</w:t>
      </w:r>
    </w:p>
    <w:p w14:paraId="04CBC316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t-test konġunt approvat mill-Kumitat ta’ Konċiljazzjoni (PE-CONS 00039/2026 – C10</w:t>
      </w:r>
      <w:r w:rsidRPr="003F5BE5">
        <w:noBreakHyphen/>
        <w:t>0144/2026),</w:t>
      </w:r>
    </w:p>
    <w:p w14:paraId="1807CE61" w14:textId="77777777" w:rsidR="00893C07" w:rsidRDefault="00893C07" w:rsidP="00893C07">
      <w:pPr>
        <w:pStyle w:val="NormalHanging12a"/>
      </w:pPr>
      <w:r w:rsidRPr="003F5BE5">
        <w:t>–</w:t>
      </w:r>
      <w:r w:rsidRPr="003F5BE5">
        <w:tab/>
        <w:t>wara li kkunsidra l-opinjoni tal-Kumitat Ekonomiku u Soċjali Ewropew tal-11 ta’ Lulju 2013</w:t>
      </w:r>
      <w:r w:rsidRPr="003F5BE5">
        <w:rPr>
          <w:rStyle w:val="FootnoteReference"/>
        </w:rPr>
        <w:footnoteReference w:id="1"/>
      </w:r>
      <w:r w:rsidRPr="003F5BE5">
        <w:t>,</w:t>
      </w:r>
    </w:p>
    <w:p w14:paraId="7F8DAFB8" w14:textId="31A8C222" w:rsidR="000E29D7" w:rsidRPr="003F5BE5" w:rsidRDefault="000E29D7" w:rsidP="00893C07">
      <w:pPr>
        <w:pStyle w:val="NormalHanging12a"/>
      </w:pPr>
      <w:r w:rsidRPr="003F5BE5">
        <w:t>–</w:t>
      </w:r>
      <w:r w:rsidRPr="003F5BE5">
        <w:tab/>
        <w:t xml:space="preserve">wara li </w:t>
      </w:r>
      <w:r>
        <w:t>kkonsulta l</w:t>
      </w:r>
      <w:r w:rsidR="00A41B74">
        <w:t>ill</w:t>
      </w:r>
      <w:r>
        <w:t>-Kumitat tar-Reġjuni,</w:t>
      </w:r>
    </w:p>
    <w:p w14:paraId="7E85193B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l-pożizzjoni tiegħu fl-ewwel qari</w:t>
      </w:r>
      <w:r w:rsidRPr="003F5BE5">
        <w:rPr>
          <w:rStyle w:val="FootnoteReference"/>
        </w:rPr>
        <w:footnoteReference w:id="2"/>
      </w:r>
      <w:r w:rsidRPr="003F5BE5">
        <w:t xml:space="preserve"> dwar il-proposta tal-Kummissjoni lill-Parlament Ewropew u lill-Kunsill (COM(2013)0130),</w:t>
      </w:r>
    </w:p>
    <w:p w14:paraId="5325DCE6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l-pożizzjoni tiegħu fit-tieni qari</w:t>
      </w:r>
      <w:r w:rsidRPr="003F5BE5">
        <w:rPr>
          <w:rStyle w:val="FootnoteReference"/>
        </w:rPr>
        <w:footnoteReference w:id="3"/>
      </w:r>
      <w:r w:rsidRPr="003F5BE5">
        <w:t xml:space="preserve"> dwar il-pożizzjoni tal-Kunsill fl-ewwel qari</w:t>
      </w:r>
      <w:r w:rsidRPr="003F5BE5">
        <w:rPr>
          <w:rStyle w:val="FootnoteReference"/>
        </w:rPr>
        <w:footnoteReference w:id="4"/>
      </w:r>
      <w:r w:rsidRPr="003F5BE5">
        <w:t>,</w:t>
      </w:r>
    </w:p>
    <w:p w14:paraId="6E98561E" w14:textId="77777777" w:rsidR="00893C07" w:rsidRPr="003F5BE5" w:rsidRDefault="00893C07" w:rsidP="00893C07">
      <w:pPr>
        <w:pStyle w:val="NormalHanging12a"/>
      </w:pPr>
      <w:r w:rsidRPr="003F5BE5">
        <w:lastRenderedPageBreak/>
        <w:t>–</w:t>
      </w:r>
      <w:r w:rsidRPr="003F5BE5">
        <w:tab/>
        <w:t>wara li kkunsidra l-opinjoni tal-Kummissjoni dwar l-emendi tal-Parlament għall-pożizzjoni tal-Kunsill fl-ewwel qari (COM(2026)0129),</w:t>
      </w:r>
    </w:p>
    <w:p w14:paraId="652CB2AF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l-pożizzjoni tal-Kunsill fit-tieni qari,</w:t>
      </w:r>
    </w:p>
    <w:p w14:paraId="7ECFD217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l-Artikolu 294(13) tat-Trattat dwar il-Funzjonament tal-Unjoni Ewropea,</w:t>
      </w:r>
    </w:p>
    <w:p w14:paraId="05BBB97D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l-Artikolu 79 tar-Regoli ta’ Proċedura tiegħu,</w:t>
      </w:r>
    </w:p>
    <w:p w14:paraId="0DC7B114" w14:textId="77777777" w:rsidR="00893C07" w:rsidRPr="003F5BE5" w:rsidRDefault="00893C07" w:rsidP="00893C07">
      <w:pPr>
        <w:pStyle w:val="NormalHanging12a"/>
      </w:pPr>
      <w:r w:rsidRPr="003F5BE5">
        <w:t>–</w:t>
      </w:r>
      <w:r w:rsidRPr="003F5BE5">
        <w:tab/>
        <w:t>wara li kkunsidra r-rapport tad-delegazzjoni tiegħu għall-Kumitat ta’ Konċiljazzjoni (A10-0191/2026),</w:t>
      </w:r>
    </w:p>
    <w:p w14:paraId="40E0F660" w14:textId="77777777" w:rsidR="00893C07" w:rsidRPr="003F5BE5" w:rsidRDefault="00893C07" w:rsidP="00893C07">
      <w:pPr>
        <w:pStyle w:val="NormalHanging12a"/>
      </w:pPr>
      <w:r w:rsidRPr="003F5BE5">
        <w:t>1.</w:t>
      </w:r>
      <w:r w:rsidRPr="003F5BE5">
        <w:tab/>
        <w:t>Japprova t-test konġunt;</w:t>
      </w:r>
    </w:p>
    <w:p w14:paraId="11589DDD" w14:textId="77777777" w:rsidR="00893C07" w:rsidRPr="003F5BE5" w:rsidRDefault="00893C07" w:rsidP="00893C07">
      <w:pPr>
        <w:pStyle w:val="NormalHanging12a"/>
      </w:pPr>
      <w:r w:rsidRPr="003F5BE5">
        <w:t>2.</w:t>
      </w:r>
      <w:r w:rsidRPr="003F5BE5">
        <w:tab/>
        <w:t>Jagħti istruzzjonijiet lill-President tiegħu biex tiffirma l-att, flimkien mal-President tal-Kunsill, f’konformità mal-Artikolu 297(1) tat-Trattat dwar il-Funzjonament tal-Unjoni Ewropea;</w:t>
      </w:r>
    </w:p>
    <w:p w14:paraId="0FACEAB9" w14:textId="77777777" w:rsidR="00893C07" w:rsidRPr="003F5BE5" w:rsidRDefault="00893C07" w:rsidP="00893C07">
      <w:pPr>
        <w:pStyle w:val="NormalHanging12a"/>
      </w:pPr>
      <w:r w:rsidRPr="003F5BE5">
        <w:t>3.</w:t>
      </w:r>
      <w:r w:rsidRPr="003F5BE5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3F5BE5">
        <w:rPr>
          <w:i/>
        </w:rPr>
        <w:t>Il-Ġurnal Uffiċjali tal-Unjoni Ewropea</w:t>
      </w:r>
      <w:r w:rsidRPr="003F5BE5">
        <w:t>;</w:t>
      </w:r>
    </w:p>
    <w:p w14:paraId="77B580F6" w14:textId="50DC563D" w:rsidR="003F5BE5" w:rsidRPr="003F5BE5" w:rsidRDefault="00893C07" w:rsidP="003F5BE5">
      <w:pPr>
        <w:pStyle w:val="NormalHanging12a"/>
      </w:pPr>
      <w:r w:rsidRPr="003F5BE5">
        <w:t>4.</w:t>
      </w:r>
      <w:r w:rsidRPr="003F5BE5">
        <w:tab/>
        <w:t>Jagħti istruzzjonijiet lill-President tiegħu biex tgħaddi din ir-riżoluzzjoni leġiżlattiva lill-Kunsill u lill-Kummissjoni kif ukoll lill-parlamenti nazzjonali.</w:t>
      </w:r>
    </w:p>
    <w:p w14:paraId="2CD4BEB7" w14:textId="1CCEA66D" w:rsidR="00E365E1" w:rsidRPr="003F5BE5" w:rsidRDefault="00E365E1" w:rsidP="007C5867"/>
    <w:sectPr w:rsidR="00E365E1" w:rsidRPr="003F5BE5" w:rsidSect="003F5B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90EC1" w14:textId="77777777" w:rsidR="007C5867" w:rsidRPr="003F5BE5" w:rsidRDefault="007C5867">
      <w:r w:rsidRPr="003F5BE5">
        <w:separator/>
      </w:r>
    </w:p>
  </w:endnote>
  <w:endnote w:type="continuationSeparator" w:id="0">
    <w:p w14:paraId="6FD72E68" w14:textId="77777777" w:rsidR="007C5867" w:rsidRPr="003F5BE5" w:rsidRDefault="007C5867">
      <w:r w:rsidRPr="003F5B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88B8" w14:textId="77777777" w:rsidR="00064002" w:rsidRPr="003F5B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E3FF" w14:textId="77777777" w:rsidR="00064002" w:rsidRPr="003F5B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6C37" w14:textId="77777777" w:rsidR="00064002" w:rsidRPr="003F5B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AC91" w14:textId="77777777" w:rsidR="007C5867" w:rsidRPr="003F5BE5" w:rsidRDefault="007C5867">
      <w:r w:rsidRPr="003F5BE5">
        <w:separator/>
      </w:r>
    </w:p>
  </w:footnote>
  <w:footnote w:type="continuationSeparator" w:id="0">
    <w:p w14:paraId="6D2A3F26" w14:textId="77777777" w:rsidR="007C5867" w:rsidRPr="003F5BE5" w:rsidRDefault="007C5867">
      <w:r w:rsidRPr="003F5BE5">
        <w:continuationSeparator/>
      </w:r>
    </w:p>
  </w:footnote>
  <w:footnote w:id="1">
    <w:p w14:paraId="60AD94BF" w14:textId="74967B3D" w:rsidR="00893C07" w:rsidRPr="003F5BE5" w:rsidRDefault="00893C07" w:rsidP="003F5BE5">
      <w:pPr>
        <w:pStyle w:val="FootnoteText"/>
        <w:ind w:left="567" w:hanging="567"/>
        <w:rPr>
          <w:sz w:val="24"/>
          <w:lang w:val="mt-MT"/>
        </w:rPr>
      </w:pPr>
      <w:r w:rsidRPr="003F5BE5">
        <w:rPr>
          <w:rStyle w:val="FootnoteReference"/>
          <w:sz w:val="24"/>
          <w:lang w:val="mt-MT"/>
        </w:rPr>
        <w:footnoteRef/>
      </w:r>
      <w:r w:rsidR="003F5BE5" w:rsidRPr="003F5BE5">
        <w:rPr>
          <w:sz w:val="24"/>
          <w:lang w:val="mt-MT"/>
        </w:rPr>
        <w:t xml:space="preserve"> </w:t>
      </w:r>
      <w:r w:rsidR="003F5BE5" w:rsidRPr="003F5BE5">
        <w:rPr>
          <w:sz w:val="24"/>
          <w:lang w:val="mt-MT"/>
        </w:rPr>
        <w:tab/>
      </w:r>
      <w:r w:rsidRPr="003F5BE5">
        <w:rPr>
          <w:sz w:val="24"/>
          <w:lang w:val="mt-MT"/>
        </w:rPr>
        <w:t xml:space="preserve">ĠU C 327, 12.11.2013, ELI: </w:t>
      </w:r>
      <w:hyperlink r:id="rId1" w:history="1">
        <w:r w:rsidRPr="003F5BE5">
          <w:rPr>
            <w:rStyle w:val="Hyperlink"/>
            <w:sz w:val="24"/>
            <w:lang w:val="mt-MT"/>
          </w:rPr>
          <w:t>https://eur-lex.europa.eu/legal-content/en/TXT/?uri=celex:52013AE2576</w:t>
        </w:r>
      </w:hyperlink>
      <w:r w:rsidRPr="003F5BE5">
        <w:rPr>
          <w:sz w:val="24"/>
          <w:lang w:val="mt-MT"/>
        </w:rPr>
        <w:t>.</w:t>
      </w:r>
    </w:p>
  </w:footnote>
  <w:footnote w:id="2">
    <w:p w14:paraId="7E304E3B" w14:textId="21907E43" w:rsidR="00893C07" w:rsidRPr="003F5BE5" w:rsidRDefault="00893C07" w:rsidP="003F5BE5">
      <w:pPr>
        <w:pStyle w:val="FootnoteText"/>
        <w:ind w:left="567" w:hanging="567"/>
        <w:rPr>
          <w:sz w:val="24"/>
          <w:lang w:val="mt-MT"/>
        </w:rPr>
      </w:pPr>
      <w:r w:rsidRPr="003F5BE5">
        <w:rPr>
          <w:rStyle w:val="FootnoteReference"/>
          <w:sz w:val="24"/>
          <w:lang w:val="mt-MT"/>
        </w:rPr>
        <w:footnoteRef/>
      </w:r>
      <w:r w:rsidR="003F5BE5" w:rsidRPr="003F5BE5">
        <w:rPr>
          <w:sz w:val="24"/>
          <w:lang w:val="mt-MT"/>
        </w:rPr>
        <w:t xml:space="preserve"> </w:t>
      </w:r>
      <w:r w:rsidR="003F5BE5" w:rsidRPr="003F5BE5">
        <w:rPr>
          <w:sz w:val="24"/>
          <w:lang w:val="mt-MT"/>
        </w:rPr>
        <w:tab/>
      </w:r>
      <w:r w:rsidRPr="003F5BE5">
        <w:rPr>
          <w:sz w:val="24"/>
          <w:lang w:val="mt-MT"/>
        </w:rPr>
        <w:t xml:space="preserve">ĠU C 93, 24.3.2017, ELI: </w:t>
      </w:r>
      <w:hyperlink r:id="rId2" w:history="1">
        <w:r w:rsidRPr="003F5BE5">
          <w:rPr>
            <w:rStyle w:val="Hyperlink"/>
            <w:sz w:val="24"/>
            <w:lang w:val="mt-MT"/>
          </w:rPr>
          <w:t>https://eur-lex.europa.eu/legal-content/EN/TXT/?uri=celex%3A52014AP0092</w:t>
        </w:r>
      </w:hyperlink>
      <w:r w:rsidRPr="003F5BE5">
        <w:rPr>
          <w:sz w:val="24"/>
          <w:lang w:val="mt-MT"/>
        </w:rPr>
        <w:t>/Testi adottati, 5.2.2014, P7_TA(2014)0092.</w:t>
      </w:r>
    </w:p>
  </w:footnote>
  <w:footnote w:id="3">
    <w:p w14:paraId="1E362E63" w14:textId="5D34CC3E" w:rsidR="00893C07" w:rsidRPr="003F5BE5" w:rsidRDefault="00893C07" w:rsidP="003F5BE5">
      <w:pPr>
        <w:pStyle w:val="FootnoteText"/>
        <w:ind w:left="567" w:hanging="567"/>
        <w:rPr>
          <w:sz w:val="24"/>
          <w:lang w:val="mt-MT"/>
        </w:rPr>
      </w:pPr>
      <w:r w:rsidRPr="003F5BE5">
        <w:rPr>
          <w:rStyle w:val="FootnoteReference"/>
          <w:sz w:val="24"/>
          <w:lang w:val="mt-MT"/>
        </w:rPr>
        <w:footnoteRef/>
      </w:r>
      <w:r w:rsidR="003F5BE5" w:rsidRPr="003F5BE5">
        <w:rPr>
          <w:sz w:val="24"/>
          <w:lang w:val="mt-MT"/>
        </w:rPr>
        <w:t xml:space="preserve"> </w:t>
      </w:r>
      <w:r w:rsidR="003F5BE5" w:rsidRPr="003F5BE5">
        <w:rPr>
          <w:sz w:val="24"/>
          <w:lang w:val="mt-MT"/>
        </w:rPr>
        <w:tab/>
      </w:r>
      <w:r w:rsidRPr="003F5BE5">
        <w:rPr>
          <w:sz w:val="24"/>
          <w:lang w:val="mt-MT"/>
        </w:rPr>
        <w:t>Testi adottati, 21.1.2026, P10_TA(2026)0009.</w:t>
      </w:r>
    </w:p>
  </w:footnote>
  <w:footnote w:id="4">
    <w:p w14:paraId="1F9E56AC" w14:textId="18ECDD31" w:rsidR="00893C07" w:rsidRPr="003F5BE5" w:rsidRDefault="00893C07" w:rsidP="003F5BE5">
      <w:pPr>
        <w:pStyle w:val="FootnoteText"/>
        <w:ind w:left="567" w:hanging="567"/>
        <w:rPr>
          <w:sz w:val="24"/>
          <w:lang w:val="mt-MT"/>
        </w:rPr>
      </w:pPr>
      <w:r w:rsidRPr="003F5BE5">
        <w:rPr>
          <w:rStyle w:val="FootnoteReference"/>
          <w:sz w:val="24"/>
          <w:lang w:val="mt-MT"/>
        </w:rPr>
        <w:footnoteRef/>
      </w:r>
      <w:r w:rsidR="003F5BE5" w:rsidRPr="003F5BE5">
        <w:rPr>
          <w:sz w:val="24"/>
          <w:lang w:val="mt-MT"/>
        </w:rPr>
        <w:t xml:space="preserve"> </w:t>
      </w:r>
      <w:r w:rsidR="003F5BE5" w:rsidRPr="003F5BE5">
        <w:rPr>
          <w:sz w:val="24"/>
          <w:lang w:val="mt-MT"/>
        </w:rPr>
        <w:tab/>
      </w:r>
      <w:r w:rsidRPr="003F5BE5">
        <w:rPr>
          <w:sz w:val="24"/>
          <w:lang w:val="mt-MT"/>
        </w:rPr>
        <w:t xml:space="preserve">ĠU C, C/2025/5782, 30.10.2025, ELI: </w:t>
      </w:r>
      <w:hyperlink r:id="rId3" w:history="1">
        <w:r w:rsidRPr="003F5BE5">
          <w:rPr>
            <w:rStyle w:val="Hyperlink"/>
            <w:sz w:val="24"/>
            <w:lang w:val="mt-MT"/>
          </w:rPr>
          <w:t>https://eur-lex.europa.eu/legal-content/EN/TXT/?uri=celex%3A52025AG0010%2801%29</w:t>
        </w:r>
      </w:hyperlink>
      <w:r w:rsidRPr="003F5BE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A9BF" w14:textId="77777777" w:rsidR="00064002" w:rsidRPr="003F5B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0F7F2" w14:textId="77777777" w:rsidR="00064002" w:rsidRPr="003F5B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99504" w14:textId="77777777" w:rsidR="00064002" w:rsidRPr="003F5B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7493770">
    <w:abstractNumId w:val="9"/>
  </w:num>
  <w:num w:numId="2" w16cid:durableId="168060242">
    <w:abstractNumId w:val="9"/>
  </w:num>
  <w:num w:numId="3" w16cid:durableId="1527255204">
    <w:abstractNumId w:val="7"/>
  </w:num>
  <w:num w:numId="4" w16cid:durableId="252277412">
    <w:abstractNumId w:val="7"/>
  </w:num>
  <w:num w:numId="5" w16cid:durableId="1489403025">
    <w:abstractNumId w:val="6"/>
  </w:num>
  <w:num w:numId="6" w16cid:durableId="569392536">
    <w:abstractNumId w:val="6"/>
  </w:num>
  <w:num w:numId="7" w16cid:durableId="2007856776">
    <w:abstractNumId w:val="5"/>
  </w:num>
  <w:num w:numId="8" w16cid:durableId="430518632">
    <w:abstractNumId w:val="5"/>
  </w:num>
  <w:num w:numId="9" w16cid:durableId="593248572">
    <w:abstractNumId w:val="4"/>
  </w:num>
  <w:num w:numId="10" w16cid:durableId="12928798">
    <w:abstractNumId w:val="4"/>
  </w:num>
  <w:num w:numId="11" w16cid:durableId="95369744">
    <w:abstractNumId w:val="8"/>
  </w:num>
  <w:num w:numId="12" w16cid:durableId="1103304044">
    <w:abstractNumId w:val="8"/>
  </w:num>
  <w:num w:numId="13" w16cid:durableId="1144277495">
    <w:abstractNumId w:val="3"/>
  </w:num>
  <w:num w:numId="14" w16cid:durableId="1446268762">
    <w:abstractNumId w:val="3"/>
  </w:num>
  <w:num w:numId="15" w16cid:durableId="1984852323">
    <w:abstractNumId w:val="2"/>
  </w:num>
  <w:num w:numId="16" w16cid:durableId="961961065">
    <w:abstractNumId w:val="2"/>
  </w:num>
  <w:num w:numId="17" w16cid:durableId="1825005553">
    <w:abstractNumId w:val="1"/>
  </w:num>
  <w:num w:numId="18" w16cid:durableId="1164475518">
    <w:abstractNumId w:val="1"/>
  </w:num>
  <w:num w:numId="19" w16cid:durableId="1546260953">
    <w:abstractNumId w:val="0"/>
  </w:num>
  <w:num w:numId="20" w16cid:durableId="115370803">
    <w:abstractNumId w:val="0"/>
  </w:num>
  <w:num w:numId="21" w16cid:durableId="637883229">
    <w:abstractNumId w:val="9"/>
  </w:num>
  <w:num w:numId="22" w16cid:durableId="719279623">
    <w:abstractNumId w:val="7"/>
  </w:num>
  <w:num w:numId="23" w16cid:durableId="1962027572">
    <w:abstractNumId w:val="6"/>
  </w:num>
  <w:num w:numId="24" w16cid:durableId="1261067977">
    <w:abstractNumId w:val="5"/>
  </w:num>
  <w:num w:numId="25" w16cid:durableId="2016371869">
    <w:abstractNumId w:val="4"/>
  </w:num>
  <w:num w:numId="26" w16cid:durableId="39061562">
    <w:abstractNumId w:val="8"/>
  </w:num>
  <w:num w:numId="27" w16cid:durableId="879168884">
    <w:abstractNumId w:val="3"/>
  </w:num>
  <w:num w:numId="28" w16cid:durableId="304899629">
    <w:abstractNumId w:val="2"/>
  </w:num>
  <w:num w:numId="29" w16cid:durableId="1395393543">
    <w:abstractNumId w:val="1"/>
  </w:num>
  <w:num w:numId="30" w16cid:durableId="1017728998">
    <w:abstractNumId w:val="0"/>
  </w:num>
  <w:num w:numId="31" w16cid:durableId="504976881">
    <w:abstractNumId w:val="9"/>
  </w:num>
  <w:num w:numId="32" w16cid:durableId="910582348">
    <w:abstractNumId w:val="7"/>
  </w:num>
  <w:num w:numId="33" w16cid:durableId="583338782">
    <w:abstractNumId w:val="6"/>
  </w:num>
  <w:num w:numId="34" w16cid:durableId="662315431">
    <w:abstractNumId w:val="5"/>
  </w:num>
  <w:num w:numId="35" w16cid:durableId="1069502824">
    <w:abstractNumId w:val="4"/>
  </w:num>
  <w:num w:numId="36" w16cid:durableId="885600954">
    <w:abstractNumId w:val="8"/>
  </w:num>
  <w:num w:numId="37" w16cid:durableId="586615021">
    <w:abstractNumId w:val="3"/>
  </w:num>
  <w:num w:numId="38" w16cid:durableId="1238591390">
    <w:abstractNumId w:val="2"/>
  </w:num>
  <w:num w:numId="39" w16cid:durableId="553736966">
    <w:abstractNumId w:val="1"/>
  </w:num>
  <w:num w:numId="40" w16cid:durableId="219220269">
    <w:abstractNumId w:val="0"/>
  </w:num>
  <w:num w:numId="41" w16cid:durableId="1372993033">
    <w:abstractNumId w:val="10"/>
  </w:num>
  <w:num w:numId="42" w16cid:durableId="610091710">
    <w:abstractNumId w:val="10"/>
  </w:num>
  <w:num w:numId="43" w16cid:durableId="627853371">
    <w:abstractNumId w:val="10"/>
  </w:num>
  <w:num w:numId="44" w16cid:durableId="9042943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MT"/>
    <w:docVar w:name="dvnumam" w:val="0"/>
    <w:docVar w:name="dvpe" w:val="790.161"/>
    <w:docVar w:name="dvrapporteur" w:val="Rapporteur: "/>
    <w:docVar w:name="dvstar" w:val="***III"/>
    <w:docVar w:name="dvtitre" w:val="Riżoluzzjoni leġiżlattiva tal-Parlament Ewropew xx xx xxxx 2026 dwar it-test konġunt, approvat mill-Kumitat ta’ Konċiljazzjoni, ta’ regolament tal-Parlament Ewropew u tal-Kunsill li jemenda r-Regolament (KE) Nru 261/2004 li jistabbilixxi regoli komuni dwar il-kumpens u l-assistenza għal passiġġieri fil-każ li ma jitħallewx jitilgħu u ta’ kanċellazzjoni jew dewmien twil ta’ titjiriet, u r-Regolament (KE) Nru 2027/97 dwar ir-responsabbiltà ta’ trasportaturi bl-ajru, fejn jidħol it-trasport bl-ajru tal-passiġġieri u l-bagalji tagħhom(PE-CONS 00039/2026 – C10-0144/2026 – 2013/0072(COD))"/>
  </w:docVars>
  <w:rsids>
    <w:rsidRoot w:val="007C5867"/>
    <w:rsid w:val="00002272"/>
    <w:rsid w:val="000425A1"/>
    <w:rsid w:val="00046544"/>
    <w:rsid w:val="00064002"/>
    <w:rsid w:val="000677B9"/>
    <w:rsid w:val="000831BA"/>
    <w:rsid w:val="000A42CC"/>
    <w:rsid w:val="000E29D7"/>
    <w:rsid w:val="000E7DD9"/>
    <w:rsid w:val="0010095E"/>
    <w:rsid w:val="00125B37"/>
    <w:rsid w:val="00187494"/>
    <w:rsid w:val="001F32AE"/>
    <w:rsid w:val="0026419A"/>
    <w:rsid w:val="002767FF"/>
    <w:rsid w:val="002B18FE"/>
    <w:rsid w:val="002B5493"/>
    <w:rsid w:val="00343214"/>
    <w:rsid w:val="00361C00"/>
    <w:rsid w:val="00395FA1"/>
    <w:rsid w:val="003E15D4"/>
    <w:rsid w:val="003F5B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6632"/>
    <w:rsid w:val="007608B7"/>
    <w:rsid w:val="00762C74"/>
    <w:rsid w:val="00786EC0"/>
    <w:rsid w:val="007C0C34"/>
    <w:rsid w:val="007C5867"/>
    <w:rsid w:val="007D1690"/>
    <w:rsid w:val="007E22AD"/>
    <w:rsid w:val="008067D7"/>
    <w:rsid w:val="00817416"/>
    <w:rsid w:val="00842779"/>
    <w:rsid w:val="00865F67"/>
    <w:rsid w:val="00881A7B"/>
    <w:rsid w:val="008840E5"/>
    <w:rsid w:val="00887B3E"/>
    <w:rsid w:val="00893C07"/>
    <w:rsid w:val="008C2AC6"/>
    <w:rsid w:val="00930C23"/>
    <w:rsid w:val="0093193B"/>
    <w:rsid w:val="009509D8"/>
    <w:rsid w:val="00950B64"/>
    <w:rsid w:val="00981893"/>
    <w:rsid w:val="00A13197"/>
    <w:rsid w:val="00A1687D"/>
    <w:rsid w:val="00A41B74"/>
    <w:rsid w:val="00A43E52"/>
    <w:rsid w:val="00A4678D"/>
    <w:rsid w:val="00A778C7"/>
    <w:rsid w:val="00AA5B2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52EF26"/>
  <w15:chartTrackingRefBased/>
  <w15:docId w15:val="{90E40E87-6583-49D2-AC82-EC8A261C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93C07"/>
    <w:pPr>
      <w:spacing w:before="480" w:after="240"/>
    </w:pPr>
  </w:style>
  <w:style w:type="paragraph" w:customStyle="1" w:styleId="NormalBold">
    <w:name w:val="NormalBold"/>
    <w:basedOn w:val="Normal"/>
    <w:rsid w:val="00893C07"/>
    <w:rPr>
      <w:b/>
    </w:rPr>
  </w:style>
  <w:style w:type="paragraph" w:customStyle="1" w:styleId="NormalHanging12a">
    <w:name w:val="NormalHanging12a"/>
    <w:basedOn w:val="Normal"/>
    <w:rsid w:val="00893C07"/>
    <w:pPr>
      <w:spacing w:after="240"/>
      <w:ind w:left="567" w:hanging="567"/>
    </w:pPr>
  </w:style>
  <w:style w:type="character" w:styleId="Hyperlink">
    <w:name w:val="Hyperlink"/>
    <w:basedOn w:val="DefaultParagraphFont"/>
    <w:rsid w:val="00893C0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E29D7"/>
    <w:rPr>
      <w:sz w:val="24"/>
      <w:lang w:val="mt-MT"/>
    </w:rPr>
  </w:style>
  <w:style w:type="character" w:styleId="CommentReference">
    <w:name w:val="annotation reference"/>
    <w:basedOn w:val="DefaultParagraphFont"/>
    <w:rsid w:val="0004654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654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4654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0465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6544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N/TXT/?uri=celex%3A52025AG0010%2801%29" TargetMode="External"/><Relationship Id="rId2" Type="http://schemas.openxmlformats.org/officeDocument/2006/relationships/hyperlink" Target="https://eur-lex.europa.eu/legal-content/EN/TXT/?uri=celex%3A52014AP0092" TargetMode="External"/><Relationship Id="rId1" Type="http://schemas.openxmlformats.org/officeDocument/2006/relationships/hyperlink" Target="https://eur-lex.europa.eu/legal-content/en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2026-07-07T10:46:00Z</dcterms:created>
  <dcterms:modified xsi:type="dcterms:W3CDTF">2026-07-07T10:46:00Z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