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00A7E" w14:paraId="430D2FD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7056D45" w14:textId="77777777" w:rsidR="00751A4A" w:rsidRPr="00F00A7E" w:rsidRDefault="009D52AD" w:rsidP="0010095E">
            <w:pPr>
              <w:pStyle w:val="EPName"/>
            </w:pPr>
            <w:r w:rsidRPr="00F00A7E">
              <w:t>Parlamentul European</w:t>
            </w:r>
          </w:p>
          <w:p w14:paraId="663DCA0E" w14:textId="77777777" w:rsidR="00751A4A" w:rsidRPr="00F00A7E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00A7E">
              <w:t>2024</w:t>
            </w:r>
            <w:r w:rsidR="00817416" w:rsidRPr="00F00A7E">
              <w:t>-202</w:t>
            </w:r>
            <w:r w:rsidRPr="00F00A7E">
              <w:t>9</w:t>
            </w:r>
          </w:p>
        </w:tc>
        <w:tc>
          <w:tcPr>
            <w:tcW w:w="2268" w:type="dxa"/>
            <w:shd w:val="clear" w:color="auto" w:fill="auto"/>
          </w:tcPr>
          <w:p w14:paraId="6B7D5AB1" w14:textId="77777777" w:rsidR="00751A4A" w:rsidRPr="00F00A7E" w:rsidRDefault="00187494" w:rsidP="0010095E">
            <w:pPr>
              <w:pStyle w:val="EPLogo"/>
            </w:pPr>
            <w:r w:rsidRPr="00F00A7E">
              <w:rPr>
                <w:noProof/>
                <w:lang w:eastAsia="ja-JP"/>
              </w:rPr>
              <w:drawing>
                <wp:inline distT="0" distB="0" distL="0" distR="0" wp14:anchorId="2594E0ED" wp14:editId="5B85AF1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F00D9C" w14:textId="77777777" w:rsidR="00D058B8" w:rsidRPr="00F00A7E" w:rsidRDefault="00D058B8" w:rsidP="004C5D52">
      <w:pPr>
        <w:pStyle w:val="LineTop"/>
      </w:pPr>
    </w:p>
    <w:p w14:paraId="73470BB6" w14:textId="77777777" w:rsidR="00680577" w:rsidRPr="00F00A7E" w:rsidRDefault="009D52AD" w:rsidP="00680577">
      <w:pPr>
        <w:pStyle w:val="EPBodyTA1"/>
      </w:pPr>
      <w:r w:rsidRPr="00F00A7E">
        <w:t>TEXTE ADOPTATE</w:t>
      </w:r>
    </w:p>
    <w:p w14:paraId="079930A5" w14:textId="77777777" w:rsidR="00D058B8" w:rsidRPr="00F00A7E" w:rsidRDefault="00D058B8" w:rsidP="00D058B8">
      <w:pPr>
        <w:pStyle w:val="LineBottom"/>
      </w:pPr>
    </w:p>
    <w:p w14:paraId="1AEBD03B" w14:textId="35433A6F" w:rsidR="009D52AD" w:rsidRPr="00F00A7E" w:rsidRDefault="009D52AD" w:rsidP="009D52AD">
      <w:pPr>
        <w:pStyle w:val="ATHeading1"/>
      </w:pPr>
      <w:bookmarkStart w:id="0" w:name="TANumber"/>
      <w:r w:rsidRPr="00F00A7E">
        <w:t>P10_TA(2026)0</w:t>
      </w:r>
      <w:bookmarkEnd w:id="0"/>
      <w:r w:rsidR="00F00A7E" w:rsidRPr="00F00A7E">
        <w:t>238</w:t>
      </w:r>
    </w:p>
    <w:p w14:paraId="63A03A4D" w14:textId="6F259654" w:rsidR="009D52AD" w:rsidRPr="00F00A7E" w:rsidRDefault="00771E9C" w:rsidP="009D52AD">
      <w:pPr>
        <w:pStyle w:val="ATHeading2"/>
      </w:pPr>
      <w:r w:rsidRPr="00F00A7E">
        <w:t xml:space="preserve">Drepturile pasagerilor </w:t>
      </w:r>
      <w:r w:rsidR="0012504E" w:rsidRPr="00F00A7E">
        <w:t>din transportul aerian</w:t>
      </w:r>
    </w:p>
    <w:p w14:paraId="14E99822" w14:textId="77777777" w:rsidR="009D52AD" w:rsidRPr="00F00A7E" w:rsidRDefault="009D52AD" w:rsidP="009D52AD">
      <w:pPr>
        <w:rPr>
          <w:i/>
          <w:vanish/>
        </w:rPr>
      </w:pPr>
      <w:r w:rsidRPr="00F00A7E">
        <w:rPr>
          <w:i/>
        </w:rPr>
        <w:fldChar w:fldCharType="begin"/>
      </w:r>
      <w:r w:rsidRPr="00F00A7E">
        <w:rPr>
          <w:i/>
        </w:rPr>
        <w:instrText xml:space="preserve"> TC"(</w:instrText>
      </w:r>
      <w:bookmarkStart w:id="1" w:name="DocNumber"/>
      <w:r w:rsidRPr="00F00A7E">
        <w:rPr>
          <w:i/>
        </w:rPr>
        <w:instrText>A10-0191/2026</w:instrText>
      </w:r>
      <w:bookmarkEnd w:id="1"/>
      <w:r w:rsidRPr="00F00A7E">
        <w:rPr>
          <w:i/>
        </w:rPr>
        <w:instrText xml:space="preserve"> - Raportoare: Roberta </w:instrText>
      </w:r>
      <w:proofErr w:type="spellStart"/>
      <w:r w:rsidRPr="00F00A7E">
        <w:rPr>
          <w:i/>
        </w:rPr>
        <w:instrText>Metsola</w:instrText>
      </w:r>
      <w:proofErr w:type="spellEnd"/>
      <w:r w:rsidRPr="00F00A7E">
        <w:rPr>
          <w:i/>
        </w:rPr>
        <w:instrText xml:space="preserve">)"\l3 \n&gt; \* MERGEFORMAT </w:instrText>
      </w:r>
      <w:r w:rsidRPr="00F00A7E">
        <w:rPr>
          <w:i/>
        </w:rPr>
        <w:fldChar w:fldCharType="end"/>
      </w:r>
    </w:p>
    <w:p w14:paraId="607E0300" w14:textId="77777777" w:rsidR="009D52AD" w:rsidRPr="00F00A7E" w:rsidRDefault="009D52AD" w:rsidP="009D52AD">
      <w:pPr>
        <w:rPr>
          <w:vanish/>
        </w:rPr>
      </w:pPr>
      <w:bookmarkStart w:id="2" w:name="Commission"/>
      <w:r w:rsidRPr="00F00A7E">
        <w:rPr>
          <w:vanish/>
        </w:rPr>
        <w:t>Delegația Parlamentului European la Comitetul de conciliere</w:t>
      </w:r>
      <w:bookmarkEnd w:id="2"/>
    </w:p>
    <w:p w14:paraId="5D460F1C" w14:textId="77777777" w:rsidR="009D52AD" w:rsidRPr="00F00A7E" w:rsidRDefault="009D52AD" w:rsidP="009D52AD">
      <w:pPr>
        <w:rPr>
          <w:vanish/>
        </w:rPr>
      </w:pPr>
      <w:bookmarkStart w:id="3" w:name="PE"/>
      <w:r w:rsidRPr="00F00A7E">
        <w:rPr>
          <w:vanish/>
        </w:rPr>
        <w:t>PE790.161</w:t>
      </w:r>
      <w:bookmarkEnd w:id="3"/>
    </w:p>
    <w:p w14:paraId="63BE8587" w14:textId="02EFACE8" w:rsidR="009D52AD" w:rsidRPr="00F00A7E" w:rsidRDefault="009D52AD" w:rsidP="009D52AD">
      <w:pPr>
        <w:pStyle w:val="ATHeading3"/>
      </w:pPr>
      <w:bookmarkStart w:id="4" w:name="Sujet"/>
      <w:r w:rsidRPr="00F00A7E">
        <w:t>Rezoluția legislativă a Parlamentului European din 7 iul</w:t>
      </w:r>
      <w:r w:rsidR="00E50CDC" w:rsidRPr="00F00A7E">
        <w:t>ie</w:t>
      </w:r>
      <w:r w:rsidRPr="00F00A7E">
        <w:t xml:space="preserve"> 2026 referitoare la proiectul comun, aprobat de comitetul de conciliere, de regulament al Parlamentului European și al Consiliului de modificare a Regulamentului (CE) nr. 261/2004 al Parlamentului European și al Consiliului de stabilire a unor norme comune în materie de compensare și de asistență a pasagerilor în eventualitatea refuzului la îmbarcare și anulării sau întârzierii prelungite a zborurilor și a Regulamentului (CE) nr. 2027/97 privind răspunderea operatorilor de transport aerian privind transportul aerian al pasagerilor și al bagajelor acestora</w:t>
      </w:r>
      <w:bookmarkEnd w:id="4"/>
      <w:r w:rsidRPr="00F00A7E">
        <w:t xml:space="preserve"> </w:t>
      </w:r>
      <w:bookmarkStart w:id="5" w:name="References"/>
      <w:r w:rsidRPr="00F00A7E">
        <w:t>(PE-CONS 00039/2026 – C10-0144/2026 – 2013/0072(COD))</w:t>
      </w:r>
      <w:bookmarkEnd w:id="5"/>
    </w:p>
    <w:p w14:paraId="05160320" w14:textId="77777777" w:rsidR="00722C82" w:rsidRPr="00F00A7E" w:rsidRDefault="00722C82" w:rsidP="00722C82">
      <w:pPr>
        <w:pStyle w:val="NormalBold"/>
      </w:pPr>
      <w:r w:rsidRPr="00F00A7E">
        <w:t>(Procedura legislativă ordinară: a treia lectură)</w:t>
      </w:r>
    </w:p>
    <w:p w14:paraId="3882A529" w14:textId="77777777" w:rsidR="00722C82" w:rsidRPr="00F00A7E" w:rsidRDefault="00722C82" w:rsidP="00722C82">
      <w:pPr>
        <w:pStyle w:val="EPComma"/>
      </w:pPr>
      <w:r w:rsidRPr="00F00A7E">
        <w:rPr>
          <w:i/>
          <w:iCs/>
        </w:rPr>
        <w:t>Parlamentul European</w:t>
      </w:r>
      <w:r w:rsidRPr="00F00A7E">
        <w:t>,</w:t>
      </w:r>
    </w:p>
    <w:p w14:paraId="0706FB20" w14:textId="1BF6B074" w:rsidR="00722C82" w:rsidRPr="00F00A7E" w:rsidRDefault="00722C82" w:rsidP="00722C82">
      <w:pPr>
        <w:pStyle w:val="NormalHanging12a"/>
      </w:pPr>
      <w:r w:rsidRPr="00F00A7E">
        <w:t>–</w:t>
      </w:r>
      <w:r w:rsidRPr="00F00A7E">
        <w:tab/>
        <w:t xml:space="preserve">având în vedere proiectul comun aprobat de </w:t>
      </w:r>
      <w:r w:rsidR="00771E9C" w:rsidRPr="00F00A7E">
        <w:t>c</w:t>
      </w:r>
      <w:r w:rsidRPr="00F00A7E">
        <w:t>omitetul de conciliere (PE-CONS 00039/2026 – C10</w:t>
      </w:r>
      <w:r w:rsidRPr="00F00A7E">
        <w:noBreakHyphen/>
        <w:t>0144/2026),</w:t>
      </w:r>
    </w:p>
    <w:p w14:paraId="31DCBD50" w14:textId="77777777" w:rsidR="00722C82" w:rsidRPr="00F00A7E" w:rsidRDefault="00722C82" w:rsidP="00722C82">
      <w:pPr>
        <w:pStyle w:val="NormalHanging12a"/>
      </w:pPr>
      <w:r w:rsidRPr="00F00A7E">
        <w:t>–</w:t>
      </w:r>
      <w:r w:rsidRPr="00F00A7E">
        <w:tab/>
        <w:t>având în vedere avizul Comitetului Economic și Social European din 11 iulie 2013</w:t>
      </w:r>
      <w:r w:rsidRPr="00F00A7E">
        <w:rPr>
          <w:rStyle w:val="FootnoteReference"/>
        </w:rPr>
        <w:footnoteReference w:id="1"/>
      </w:r>
      <w:r w:rsidRPr="00F00A7E">
        <w:t>,</w:t>
      </w:r>
    </w:p>
    <w:p w14:paraId="1A2F1F07" w14:textId="139C5DD7" w:rsidR="00E50CDC" w:rsidRPr="00F00A7E" w:rsidRDefault="00E50CDC" w:rsidP="00F00A7E">
      <w:pPr>
        <w:spacing w:after="240"/>
        <w:ind w:left="567" w:hanging="567"/>
      </w:pPr>
      <w:bookmarkStart w:id="6" w:name="_Hlk224208913"/>
      <w:r w:rsidRPr="00F00A7E">
        <w:t>–</w:t>
      </w:r>
      <w:r w:rsidRPr="00F00A7E">
        <w:tab/>
        <w:t>după consultarea Comitetului Regiunilor,</w:t>
      </w:r>
      <w:bookmarkEnd w:id="6"/>
    </w:p>
    <w:p w14:paraId="7C5772DC" w14:textId="77777777" w:rsidR="00722C82" w:rsidRPr="00F00A7E" w:rsidRDefault="00722C82" w:rsidP="00722C82">
      <w:pPr>
        <w:pStyle w:val="NormalHanging12a"/>
      </w:pPr>
      <w:r w:rsidRPr="00F00A7E">
        <w:t>–</w:t>
      </w:r>
      <w:r w:rsidRPr="00F00A7E">
        <w:tab/>
        <w:t>având în vedere poziția sa în primă lectură</w:t>
      </w:r>
      <w:r w:rsidRPr="00F00A7E">
        <w:rPr>
          <w:rStyle w:val="FootnoteReference"/>
        </w:rPr>
        <w:footnoteReference w:id="2"/>
      </w:r>
      <w:r w:rsidRPr="00F00A7E">
        <w:t xml:space="preserve"> referitoare la propunerea Comisiei prezentată Parlamentului European și Consiliului (COM(2013)0130),</w:t>
      </w:r>
    </w:p>
    <w:p w14:paraId="41DE6918" w14:textId="77777777" w:rsidR="00722C82" w:rsidRPr="00F00A7E" w:rsidRDefault="00722C82" w:rsidP="00722C82">
      <w:pPr>
        <w:pStyle w:val="NormalHanging12a"/>
      </w:pPr>
      <w:r w:rsidRPr="00F00A7E">
        <w:t>–</w:t>
      </w:r>
      <w:r w:rsidRPr="00F00A7E">
        <w:tab/>
        <w:t>având în vedere poziția sa în a doua lectură</w:t>
      </w:r>
      <w:r w:rsidRPr="00F00A7E">
        <w:rPr>
          <w:rStyle w:val="FootnoteReference"/>
        </w:rPr>
        <w:footnoteReference w:id="3"/>
      </w:r>
      <w:r w:rsidRPr="00F00A7E">
        <w:t xml:space="preserve"> referitoare la poziția în primă lectură a Consiliului</w:t>
      </w:r>
      <w:r w:rsidRPr="00F00A7E">
        <w:rPr>
          <w:rStyle w:val="FootnoteReference"/>
        </w:rPr>
        <w:footnoteReference w:id="4"/>
      </w:r>
      <w:r w:rsidRPr="00F00A7E">
        <w:t>,</w:t>
      </w:r>
    </w:p>
    <w:p w14:paraId="0C728B46" w14:textId="77777777" w:rsidR="00722C82" w:rsidRPr="00F00A7E" w:rsidRDefault="00722C82" w:rsidP="00722C82">
      <w:pPr>
        <w:pStyle w:val="NormalHanging12a"/>
      </w:pPr>
      <w:r w:rsidRPr="00F00A7E">
        <w:lastRenderedPageBreak/>
        <w:t>–</w:t>
      </w:r>
      <w:r w:rsidRPr="00F00A7E">
        <w:tab/>
        <w:t>având în vedere avizul emis de Comisie privind amendamentele Parlamentului la poziția în primă lectură a Consiliului (COM(2026)0129),</w:t>
      </w:r>
    </w:p>
    <w:p w14:paraId="2155AFD5" w14:textId="77777777" w:rsidR="00722C82" w:rsidRPr="00F00A7E" w:rsidRDefault="00722C82" w:rsidP="00722C82">
      <w:pPr>
        <w:pStyle w:val="NormalHanging12a"/>
      </w:pPr>
      <w:r w:rsidRPr="00F00A7E">
        <w:t>–</w:t>
      </w:r>
      <w:r w:rsidRPr="00F00A7E">
        <w:tab/>
        <w:t>având în vedere poziția în a doua lectură a Consiliului,</w:t>
      </w:r>
    </w:p>
    <w:p w14:paraId="6F474914" w14:textId="77777777" w:rsidR="00722C82" w:rsidRPr="00F00A7E" w:rsidRDefault="00722C82" w:rsidP="00722C82">
      <w:pPr>
        <w:pStyle w:val="NormalHanging12a"/>
      </w:pPr>
      <w:r w:rsidRPr="00F00A7E">
        <w:t>–</w:t>
      </w:r>
      <w:r w:rsidRPr="00F00A7E">
        <w:tab/>
        <w:t>având în vedere articolul 294 alineatul (13) din Tratatul privind funcționarea Uniunii Europene,</w:t>
      </w:r>
    </w:p>
    <w:p w14:paraId="1CCB8824" w14:textId="77777777" w:rsidR="00722C82" w:rsidRPr="00F00A7E" w:rsidRDefault="00722C82" w:rsidP="00722C82">
      <w:pPr>
        <w:pStyle w:val="NormalHanging12a"/>
      </w:pPr>
      <w:r w:rsidRPr="00F00A7E">
        <w:t>–</w:t>
      </w:r>
      <w:r w:rsidRPr="00F00A7E">
        <w:tab/>
        <w:t>având în vedere articolul 79 din Regulamentul său de procedură,</w:t>
      </w:r>
    </w:p>
    <w:p w14:paraId="47329AEE" w14:textId="77777777" w:rsidR="00722C82" w:rsidRPr="00F00A7E" w:rsidRDefault="00722C82" w:rsidP="00722C82">
      <w:pPr>
        <w:pStyle w:val="NormalHanging12a"/>
      </w:pPr>
      <w:r w:rsidRPr="00F00A7E">
        <w:t>–</w:t>
      </w:r>
      <w:r w:rsidRPr="00F00A7E">
        <w:tab/>
        <w:t>având în vedere raportul delegației sale la comitetul de conciliere (A10-0191/2026),</w:t>
      </w:r>
    </w:p>
    <w:p w14:paraId="7B6E6BBB" w14:textId="77777777" w:rsidR="00722C82" w:rsidRPr="00F00A7E" w:rsidRDefault="00722C82" w:rsidP="00722C82">
      <w:pPr>
        <w:pStyle w:val="NormalHanging12a"/>
      </w:pPr>
      <w:r w:rsidRPr="00F00A7E">
        <w:t>1.</w:t>
      </w:r>
      <w:r w:rsidRPr="00F00A7E">
        <w:tab/>
        <w:t>aprobă proiectul comun;</w:t>
      </w:r>
    </w:p>
    <w:p w14:paraId="5627EBE1" w14:textId="2E77EE07" w:rsidR="00722C82" w:rsidRPr="00F00A7E" w:rsidRDefault="00722C82" w:rsidP="00722C82">
      <w:pPr>
        <w:pStyle w:val="NormalHanging12a"/>
      </w:pPr>
      <w:r w:rsidRPr="00F00A7E">
        <w:t>2.</w:t>
      </w:r>
      <w:r w:rsidRPr="00F00A7E">
        <w:tab/>
        <w:t>încredințează Președintei sarcina de a semna actul împreună cu Președint</w:t>
      </w:r>
      <w:r w:rsidR="00BB65ED" w:rsidRPr="00F00A7E">
        <w:t>ele</w:t>
      </w:r>
      <w:r w:rsidRPr="00F00A7E">
        <w:t xml:space="preserve"> Consiliului, în conformitate cu articolul 297 alineatul (1) din Tratatul privind funcționarea Uniunii Europene;</w:t>
      </w:r>
    </w:p>
    <w:p w14:paraId="5490F5D2" w14:textId="49F36141" w:rsidR="00722C82" w:rsidRPr="00F00A7E" w:rsidRDefault="00722C82" w:rsidP="00722C82">
      <w:pPr>
        <w:pStyle w:val="NormalHanging12a"/>
      </w:pPr>
      <w:r w:rsidRPr="00F00A7E">
        <w:t>3.</w:t>
      </w:r>
      <w:r w:rsidRPr="00F00A7E">
        <w:tab/>
        <w:t xml:space="preserve">încredințează Secretarului General sarcina de a semna actul, după ce s-a verificat îndeplinirea corespunzătoare a tuturor procedurilor, și de a asigura, </w:t>
      </w:r>
      <w:r w:rsidR="00771E9C" w:rsidRPr="00F00A7E">
        <w:t>în</w:t>
      </w:r>
      <w:r w:rsidRPr="00F00A7E">
        <w:t xml:space="preserve"> acord cu Secretarul General al Consiliului, publicarea sa în </w:t>
      </w:r>
      <w:r w:rsidRPr="00F00A7E">
        <w:rPr>
          <w:i/>
          <w:iCs/>
        </w:rPr>
        <w:t>Jurnalul Oficial al Uniunii Europene</w:t>
      </w:r>
      <w:r w:rsidRPr="00F00A7E">
        <w:t>;</w:t>
      </w:r>
    </w:p>
    <w:p w14:paraId="58336662" w14:textId="18E6C4DF" w:rsidR="00AA51AF" w:rsidRPr="00F00A7E" w:rsidRDefault="00722C82" w:rsidP="00AA51AF">
      <w:pPr>
        <w:pStyle w:val="NormalHanging12a"/>
      </w:pPr>
      <w:r w:rsidRPr="00F00A7E">
        <w:t>4.</w:t>
      </w:r>
      <w:r w:rsidRPr="00F00A7E">
        <w:tab/>
        <w:t>încredințează Președintei sarcina de a transmite prezenta rezoluție legislativă Consiliului și Comisiei, precum și parlamentelor naționale.</w:t>
      </w:r>
    </w:p>
    <w:p w14:paraId="0E88504E" w14:textId="04155D7E" w:rsidR="00E365E1" w:rsidRPr="00F00A7E" w:rsidRDefault="00E365E1" w:rsidP="009D52AD"/>
    <w:sectPr w:rsidR="00E365E1" w:rsidRPr="00F00A7E" w:rsidSect="00AA51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8F61B" w14:textId="77777777" w:rsidR="009D52AD" w:rsidRPr="00AA51AF" w:rsidRDefault="009D52AD">
      <w:r w:rsidRPr="00AA51AF">
        <w:separator/>
      </w:r>
    </w:p>
  </w:endnote>
  <w:endnote w:type="continuationSeparator" w:id="0">
    <w:p w14:paraId="15FFFC66" w14:textId="77777777" w:rsidR="009D52AD" w:rsidRPr="00AA51AF" w:rsidRDefault="009D52AD">
      <w:r w:rsidRPr="00AA51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780E7" w14:textId="77777777" w:rsidR="00064002" w:rsidRPr="00AA51A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C1D7B" w14:textId="77777777" w:rsidR="00064002" w:rsidRPr="00AA51A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43C97" w14:textId="77777777" w:rsidR="00064002" w:rsidRPr="00AA51A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AF7F7" w14:textId="77777777" w:rsidR="009D52AD" w:rsidRPr="00AA51AF" w:rsidRDefault="009D52AD">
      <w:r w:rsidRPr="00AA51AF">
        <w:separator/>
      </w:r>
    </w:p>
  </w:footnote>
  <w:footnote w:type="continuationSeparator" w:id="0">
    <w:p w14:paraId="3D895C93" w14:textId="77777777" w:rsidR="009D52AD" w:rsidRPr="00AA51AF" w:rsidRDefault="009D52AD">
      <w:r w:rsidRPr="00AA51AF">
        <w:continuationSeparator/>
      </w:r>
    </w:p>
  </w:footnote>
  <w:footnote w:id="1">
    <w:p w14:paraId="59CF7CAF" w14:textId="11B7A3B5" w:rsidR="00722C82" w:rsidRPr="00AA51AF" w:rsidRDefault="00722C82" w:rsidP="00AA51AF">
      <w:pPr>
        <w:pStyle w:val="FootnoteText"/>
        <w:ind w:left="567" w:hanging="567"/>
        <w:rPr>
          <w:sz w:val="24"/>
          <w:lang w:val="ro-RO"/>
        </w:rPr>
      </w:pPr>
      <w:r w:rsidRPr="00AA51AF">
        <w:rPr>
          <w:rStyle w:val="FootnoteReference"/>
          <w:sz w:val="24"/>
          <w:lang w:val="ro-RO"/>
        </w:rPr>
        <w:footnoteRef/>
      </w:r>
      <w:r w:rsidR="00AA51AF" w:rsidRPr="00AA51AF">
        <w:rPr>
          <w:sz w:val="24"/>
          <w:lang w:val="ro-RO"/>
        </w:rPr>
        <w:t xml:space="preserve"> </w:t>
      </w:r>
      <w:r w:rsidR="00AA51AF" w:rsidRPr="00AA51AF">
        <w:rPr>
          <w:sz w:val="24"/>
          <w:lang w:val="ro-RO"/>
        </w:rPr>
        <w:tab/>
      </w:r>
      <w:r w:rsidRPr="00AA51AF">
        <w:rPr>
          <w:sz w:val="24"/>
          <w:lang w:val="ro-RO"/>
        </w:rPr>
        <w:t xml:space="preserve">JO C 327, 12.11.2013, ELI: </w:t>
      </w:r>
      <w:hyperlink r:id="rId1" w:history="1">
        <w:r w:rsidRPr="00AA51AF">
          <w:rPr>
            <w:rStyle w:val="Hyperlink"/>
            <w:sz w:val="24"/>
            <w:lang w:val="ro-RO"/>
          </w:rPr>
          <w:t>https://eur-lex.europa.eu/legal-content/ro/TXT/?uri=celex:52013AE2576</w:t>
        </w:r>
      </w:hyperlink>
      <w:r w:rsidRPr="00AA51AF">
        <w:rPr>
          <w:sz w:val="24"/>
          <w:lang w:val="ro-RO"/>
        </w:rPr>
        <w:t>.</w:t>
      </w:r>
    </w:p>
  </w:footnote>
  <w:footnote w:id="2">
    <w:p w14:paraId="07EF275C" w14:textId="7A7F5573" w:rsidR="00722C82" w:rsidRPr="00AA51AF" w:rsidRDefault="00722C82" w:rsidP="00AA51AF">
      <w:pPr>
        <w:pStyle w:val="FootnoteText"/>
        <w:ind w:left="567" w:hanging="567"/>
        <w:rPr>
          <w:sz w:val="24"/>
          <w:lang w:val="ro-RO"/>
        </w:rPr>
      </w:pPr>
      <w:r w:rsidRPr="00AA51AF">
        <w:rPr>
          <w:rStyle w:val="FootnoteReference"/>
          <w:sz w:val="24"/>
          <w:lang w:val="ro-RO"/>
        </w:rPr>
        <w:footnoteRef/>
      </w:r>
      <w:r w:rsidR="00AA51AF" w:rsidRPr="00AA51AF">
        <w:rPr>
          <w:sz w:val="24"/>
          <w:lang w:val="ro-RO"/>
        </w:rPr>
        <w:t xml:space="preserve"> </w:t>
      </w:r>
      <w:r w:rsidR="00AA51AF" w:rsidRPr="00AA51AF">
        <w:rPr>
          <w:sz w:val="24"/>
          <w:lang w:val="ro-RO"/>
        </w:rPr>
        <w:tab/>
      </w:r>
      <w:r w:rsidRPr="00AA51AF">
        <w:rPr>
          <w:sz w:val="24"/>
          <w:lang w:val="ro-RO"/>
        </w:rPr>
        <w:t xml:space="preserve">JO C 93, 24.3.2017, ELI: </w:t>
      </w:r>
      <w:hyperlink r:id="rId2" w:history="1">
        <w:r w:rsidRPr="00AA51AF">
          <w:rPr>
            <w:rStyle w:val="Hyperlink"/>
            <w:sz w:val="24"/>
            <w:lang w:val="ro-RO"/>
          </w:rPr>
          <w:t>https://eur-lex.europa.eu/legal-content/RO/TXT/?uri=celex%3A52014AP0092</w:t>
        </w:r>
      </w:hyperlink>
      <w:r w:rsidRPr="00AA51AF">
        <w:rPr>
          <w:sz w:val="24"/>
          <w:lang w:val="ro-RO"/>
        </w:rPr>
        <w:t>/Texte adoptate 5.2.2014, P7_TA(2014)0092.</w:t>
      </w:r>
    </w:p>
  </w:footnote>
  <w:footnote w:id="3">
    <w:p w14:paraId="7CC5A978" w14:textId="0A43769C" w:rsidR="00722C82" w:rsidRPr="00AA51AF" w:rsidRDefault="00722C82" w:rsidP="00AA51AF">
      <w:pPr>
        <w:pStyle w:val="FootnoteText"/>
        <w:ind w:left="567" w:hanging="567"/>
        <w:rPr>
          <w:sz w:val="24"/>
          <w:lang w:val="ro-RO"/>
        </w:rPr>
      </w:pPr>
      <w:r w:rsidRPr="00AA51AF">
        <w:rPr>
          <w:rStyle w:val="FootnoteReference"/>
          <w:sz w:val="24"/>
          <w:lang w:val="ro-RO"/>
        </w:rPr>
        <w:footnoteRef/>
      </w:r>
      <w:r w:rsidR="00AA51AF" w:rsidRPr="00AA51AF">
        <w:rPr>
          <w:sz w:val="24"/>
          <w:lang w:val="ro-RO"/>
        </w:rPr>
        <w:t xml:space="preserve"> </w:t>
      </w:r>
      <w:r w:rsidR="00AA51AF" w:rsidRPr="00AA51AF">
        <w:rPr>
          <w:sz w:val="24"/>
          <w:lang w:val="ro-RO"/>
        </w:rPr>
        <w:tab/>
      </w:r>
      <w:r w:rsidRPr="00AA51AF">
        <w:rPr>
          <w:sz w:val="24"/>
          <w:lang w:val="ro-RO"/>
        </w:rPr>
        <w:t>Texte adoptate 21.1.2026, P10_TA(2026)0009.</w:t>
      </w:r>
    </w:p>
  </w:footnote>
  <w:footnote w:id="4">
    <w:p w14:paraId="46035183" w14:textId="3A2459FF" w:rsidR="00722C82" w:rsidRPr="00AA51AF" w:rsidRDefault="00722C82" w:rsidP="00AA51AF">
      <w:pPr>
        <w:pStyle w:val="FootnoteText"/>
        <w:ind w:left="567" w:hanging="567"/>
        <w:rPr>
          <w:sz w:val="24"/>
          <w:lang w:val="ro-RO"/>
        </w:rPr>
      </w:pPr>
      <w:r w:rsidRPr="00AA51AF">
        <w:rPr>
          <w:rStyle w:val="FootnoteReference"/>
          <w:sz w:val="24"/>
          <w:lang w:val="ro-RO"/>
        </w:rPr>
        <w:footnoteRef/>
      </w:r>
      <w:r w:rsidR="00AA51AF" w:rsidRPr="00AA51AF">
        <w:rPr>
          <w:sz w:val="24"/>
          <w:lang w:val="ro-RO"/>
        </w:rPr>
        <w:t xml:space="preserve"> </w:t>
      </w:r>
      <w:r w:rsidR="00AA51AF" w:rsidRPr="00AA51AF">
        <w:rPr>
          <w:sz w:val="24"/>
          <w:lang w:val="ro-RO"/>
        </w:rPr>
        <w:tab/>
      </w:r>
      <w:r w:rsidRPr="00AA51AF">
        <w:rPr>
          <w:sz w:val="24"/>
          <w:lang w:val="ro-RO"/>
        </w:rPr>
        <w:t xml:space="preserve">JO C, C/2025/5782, 30.10.2025, ELI: </w:t>
      </w:r>
      <w:hyperlink r:id="rId3" w:history="1">
        <w:r w:rsidRPr="00AA51AF">
          <w:rPr>
            <w:rStyle w:val="Hyperlink"/>
            <w:sz w:val="24"/>
            <w:lang w:val="ro-RO"/>
          </w:rPr>
          <w:t>https://eur-lex.europa.eu/legal-content/RO/TXT/?uri=celex%3A52025AG0010%2801%29</w:t>
        </w:r>
      </w:hyperlink>
      <w:r w:rsidRPr="00AA51AF">
        <w:rPr>
          <w:sz w:val="24"/>
          <w:lang w:val="ro-R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4A35A" w14:textId="77777777" w:rsidR="00064002" w:rsidRPr="00AA51A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1947" w14:textId="77777777" w:rsidR="00064002" w:rsidRPr="00AA51A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0A0BB" w14:textId="77777777" w:rsidR="00064002" w:rsidRPr="00AA51A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711106888">
    <w:abstractNumId w:val="9"/>
  </w:num>
  <w:num w:numId="2" w16cid:durableId="332224643">
    <w:abstractNumId w:val="9"/>
  </w:num>
  <w:num w:numId="3" w16cid:durableId="1174342541">
    <w:abstractNumId w:val="7"/>
  </w:num>
  <w:num w:numId="4" w16cid:durableId="1445733643">
    <w:abstractNumId w:val="7"/>
  </w:num>
  <w:num w:numId="5" w16cid:durableId="1931965381">
    <w:abstractNumId w:val="6"/>
  </w:num>
  <w:num w:numId="6" w16cid:durableId="1137913738">
    <w:abstractNumId w:val="6"/>
  </w:num>
  <w:num w:numId="7" w16cid:durableId="1941793603">
    <w:abstractNumId w:val="5"/>
  </w:num>
  <w:num w:numId="8" w16cid:durableId="1420519398">
    <w:abstractNumId w:val="5"/>
  </w:num>
  <w:num w:numId="9" w16cid:durableId="2117096413">
    <w:abstractNumId w:val="4"/>
  </w:num>
  <w:num w:numId="10" w16cid:durableId="2004581859">
    <w:abstractNumId w:val="4"/>
  </w:num>
  <w:num w:numId="11" w16cid:durableId="1873687422">
    <w:abstractNumId w:val="8"/>
  </w:num>
  <w:num w:numId="12" w16cid:durableId="618418362">
    <w:abstractNumId w:val="8"/>
  </w:num>
  <w:num w:numId="13" w16cid:durableId="173426580">
    <w:abstractNumId w:val="3"/>
  </w:num>
  <w:num w:numId="14" w16cid:durableId="1331785931">
    <w:abstractNumId w:val="3"/>
  </w:num>
  <w:num w:numId="15" w16cid:durableId="646324322">
    <w:abstractNumId w:val="2"/>
  </w:num>
  <w:num w:numId="16" w16cid:durableId="997732263">
    <w:abstractNumId w:val="2"/>
  </w:num>
  <w:num w:numId="17" w16cid:durableId="1373580937">
    <w:abstractNumId w:val="1"/>
  </w:num>
  <w:num w:numId="18" w16cid:durableId="884803003">
    <w:abstractNumId w:val="1"/>
  </w:num>
  <w:num w:numId="19" w16cid:durableId="1133065233">
    <w:abstractNumId w:val="0"/>
  </w:num>
  <w:num w:numId="20" w16cid:durableId="505172626">
    <w:abstractNumId w:val="0"/>
  </w:num>
  <w:num w:numId="21" w16cid:durableId="1328820782">
    <w:abstractNumId w:val="9"/>
  </w:num>
  <w:num w:numId="22" w16cid:durableId="1847012252">
    <w:abstractNumId w:val="7"/>
  </w:num>
  <w:num w:numId="23" w16cid:durableId="612397497">
    <w:abstractNumId w:val="6"/>
  </w:num>
  <w:num w:numId="24" w16cid:durableId="133300738">
    <w:abstractNumId w:val="5"/>
  </w:num>
  <w:num w:numId="25" w16cid:durableId="613247527">
    <w:abstractNumId w:val="4"/>
  </w:num>
  <w:num w:numId="26" w16cid:durableId="2123648230">
    <w:abstractNumId w:val="8"/>
  </w:num>
  <w:num w:numId="27" w16cid:durableId="74937440">
    <w:abstractNumId w:val="3"/>
  </w:num>
  <w:num w:numId="28" w16cid:durableId="556282307">
    <w:abstractNumId w:val="2"/>
  </w:num>
  <w:num w:numId="29" w16cid:durableId="1173642207">
    <w:abstractNumId w:val="1"/>
  </w:num>
  <w:num w:numId="30" w16cid:durableId="1689411350">
    <w:abstractNumId w:val="0"/>
  </w:num>
  <w:num w:numId="31" w16cid:durableId="2111586864">
    <w:abstractNumId w:val="9"/>
  </w:num>
  <w:num w:numId="32" w16cid:durableId="409543018">
    <w:abstractNumId w:val="7"/>
  </w:num>
  <w:num w:numId="33" w16cid:durableId="155461634">
    <w:abstractNumId w:val="6"/>
  </w:num>
  <w:num w:numId="34" w16cid:durableId="1011949041">
    <w:abstractNumId w:val="5"/>
  </w:num>
  <w:num w:numId="35" w16cid:durableId="205677635">
    <w:abstractNumId w:val="4"/>
  </w:num>
  <w:num w:numId="36" w16cid:durableId="186413197">
    <w:abstractNumId w:val="8"/>
  </w:num>
  <w:num w:numId="37" w16cid:durableId="1588030472">
    <w:abstractNumId w:val="3"/>
  </w:num>
  <w:num w:numId="38" w16cid:durableId="285549526">
    <w:abstractNumId w:val="2"/>
  </w:num>
  <w:num w:numId="39" w16cid:durableId="1819956935">
    <w:abstractNumId w:val="1"/>
  </w:num>
  <w:num w:numId="40" w16cid:durableId="324674660">
    <w:abstractNumId w:val="0"/>
  </w:num>
  <w:num w:numId="41" w16cid:durableId="1276523412">
    <w:abstractNumId w:val="10"/>
  </w:num>
  <w:num w:numId="42" w16cid:durableId="1155338344">
    <w:abstractNumId w:val="10"/>
  </w:num>
  <w:num w:numId="43" w16cid:durableId="690759095">
    <w:abstractNumId w:val="10"/>
  </w:num>
  <w:num w:numId="44" w16cid:durableId="15352641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91/2026"/>
    <w:docVar w:name="dvlangue" w:val="RO"/>
    <w:docVar w:name="dvnumam" w:val="0"/>
    <w:docVar w:name="dvpe" w:val="790.161"/>
    <w:docVar w:name="dvrapporteur" w:val="Raportoare: "/>
    <w:docVar w:name="dvstar" w:val="***III"/>
    <w:docVar w:name="dvtitre" w:val="Rezoluția legislativă a Parlamentului European din 7 iulei 2026 referitoare la proiectul comun, aprobat de comitetul de conciliere, de regulament al Parlamentului European și al Consiliului de modificare a Regulamentului (CE) nr. 261/2004 al Parlamentului European și al Consiliului de stabilire a unor norme comune în materie de compensare și de asistență a pasagerilor în eventualitatea refuzului la îmbarcare și anulării sau întârzierii prelungite a zborurilor și a Regulamentului (CE) nr. 2027/97 privind răspunderea operatorilor de transport aerian privind transportul aerian al pasagerilor și al bagajelor acestora(PE-CONS 00039/2026 – C10-0144/2026 – 2013/0072(COD))"/>
  </w:docVars>
  <w:rsids>
    <w:rsidRoot w:val="009D52AD"/>
    <w:rsid w:val="00002272"/>
    <w:rsid w:val="00064002"/>
    <w:rsid w:val="000677B9"/>
    <w:rsid w:val="000831BA"/>
    <w:rsid w:val="000A42CC"/>
    <w:rsid w:val="000E7DD9"/>
    <w:rsid w:val="0010095E"/>
    <w:rsid w:val="0012504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3E6F53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22C82"/>
    <w:rsid w:val="00731ADD"/>
    <w:rsid w:val="00734777"/>
    <w:rsid w:val="00747932"/>
    <w:rsid w:val="00751A4A"/>
    <w:rsid w:val="00756632"/>
    <w:rsid w:val="00762C74"/>
    <w:rsid w:val="00771E9C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D52AD"/>
    <w:rsid w:val="00A1687D"/>
    <w:rsid w:val="00A43E52"/>
    <w:rsid w:val="00A4678D"/>
    <w:rsid w:val="00A778C7"/>
    <w:rsid w:val="00AA51AF"/>
    <w:rsid w:val="00AB441E"/>
    <w:rsid w:val="00AB6293"/>
    <w:rsid w:val="00AE0928"/>
    <w:rsid w:val="00AF3B82"/>
    <w:rsid w:val="00B12E95"/>
    <w:rsid w:val="00B22876"/>
    <w:rsid w:val="00B558F0"/>
    <w:rsid w:val="00BB65ED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48E5"/>
    <w:rsid w:val="00D872DF"/>
    <w:rsid w:val="00D91E21"/>
    <w:rsid w:val="00DA7FCD"/>
    <w:rsid w:val="00E365E1"/>
    <w:rsid w:val="00E4064F"/>
    <w:rsid w:val="00E50CDC"/>
    <w:rsid w:val="00E820A4"/>
    <w:rsid w:val="00EB006A"/>
    <w:rsid w:val="00EB4772"/>
    <w:rsid w:val="00ED169E"/>
    <w:rsid w:val="00ED4235"/>
    <w:rsid w:val="00F00A7E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0275F"/>
  <w15:chartTrackingRefBased/>
  <w15:docId w15:val="{DD04E890-4347-4C72-B846-E8BA5CB9F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722C82"/>
    <w:pPr>
      <w:spacing w:before="480" w:after="240"/>
    </w:pPr>
  </w:style>
  <w:style w:type="paragraph" w:customStyle="1" w:styleId="NormalBold">
    <w:name w:val="NormalBold"/>
    <w:basedOn w:val="Normal"/>
    <w:rsid w:val="00722C82"/>
    <w:rPr>
      <w:b/>
    </w:rPr>
  </w:style>
  <w:style w:type="paragraph" w:customStyle="1" w:styleId="NormalHanging12a">
    <w:name w:val="NormalHanging12a"/>
    <w:basedOn w:val="Normal"/>
    <w:rsid w:val="00722C82"/>
    <w:pPr>
      <w:spacing w:after="240"/>
      <w:ind w:left="567" w:hanging="567"/>
    </w:pPr>
  </w:style>
  <w:style w:type="character" w:styleId="Hyperlink">
    <w:name w:val="Hyperlink"/>
    <w:basedOn w:val="DefaultParagraphFont"/>
    <w:rsid w:val="00722C8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50CDC"/>
    <w:rPr>
      <w:sz w:val="24"/>
      <w:lang w:val="ro-RO"/>
    </w:rPr>
  </w:style>
  <w:style w:type="character" w:styleId="CommentReference">
    <w:name w:val="annotation reference"/>
    <w:basedOn w:val="DefaultParagraphFont"/>
    <w:rsid w:val="00771E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71E9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71E9C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rsid w:val="00771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71E9C"/>
    <w:rPr>
      <w:b/>
      <w:bCs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RO/TXT/?uri=celex%3A52025AG0010%2801%29" TargetMode="External"/><Relationship Id="rId2" Type="http://schemas.openxmlformats.org/officeDocument/2006/relationships/hyperlink" Target="https://eur-lex.europa.eu/legal-content/RO/TXT/?uri=celex%3A52014AP0092" TargetMode="External"/><Relationship Id="rId1" Type="http://schemas.openxmlformats.org/officeDocument/2006/relationships/hyperlink" Target="https://eur-lex.europa.eu/legal-content/ro/TXT/?uri=celex:52013AE2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GHERMAN Laura</dc:creator>
  <cp:keywords/>
  <cp:lastModifiedBy>GHERMAN Laura-Mirona</cp:lastModifiedBy>
  <cp:revision>2</cp:revision>
  <cp:lastPrinted>2004-11-19T15:42:00Z</cp:lastPrinted>
  <dcterms:created xsi:type="dcterms:W3CDTF">2026-07-07T13:23:00Z</dcterms:created>
  <dcterms:modified xsi:type="dcterms:W3CDTF">2026-07-07T13:23:00Z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A10-0191/2026</vt:lpwstr>
  </property>
  <property fmtid="{D5CDD505-2E9C-101B-9397-08002B2CF9AE}" pid="4" name="&lt;Type&gt;">
    <vt:lpwstr>RR</vt:lpwstr>
  </property>
</Properties>
</file>