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145FF" w14:paraId="5F68A30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C3BAE35" w14:textId="77777777" w:rsidR="00751A4A" w:rsidRPr="00E145FF" w:rsidRDefault="00E9055D" w:rsidP="0010095E">
            <w:pPr>
              <w:pStyle w:val="EPName"/>
            </w:pPr>
            <w:r w:rsidRPr="00E145FF">
              <w:t>Európsky parlament</w:t>
            </w:r>
          </w:p>
          <w:p w14:paraId="289704FE" w14:textId="77777777" w:rsidR="00751A4A" w:rsidRPr="00E145F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145FF">
              <w:t>2024</w:t>
            </w:r>
            <w:r w:rsidR="00817416" w:rsidRPr="00E145FF">
              <w:t>-202</w:t>
            </w:r>
            <w:r w:rsidRPr="00E145FF">
              <w:t>9</w:t>
            </w:r>
          </w:p>
        </w:tc>
        <w:tc>
          <w:tcPr>
            <w:tcW w:w="2268" w:type="dxa"/>
            <w:shd w:val="clear" w:color="auto" w:fill="auto"/>
          </w:tcPr>
          <w:p w14:paraId="44A740AA" w14:textId="77777777" w:rsidR="00751A4A" w:rsidRPr="00E145FF" w:rsidRDefault="00187494" w:rsidP="0010095E">
            <w:pPr>
              <w:pStyle w:val="EPLogo"/>
            </w:pPr>
            <w:r w:rsidRPr="00E145FF">
              <w:rPr>
                <w:noProof/>
                <w:lang w:eastAsia="ja-JP"/>
              </w:rPr>
              <w:drawing>
                <wp:inline distT="0" distB="0" distL="0" distR="0" wp14:anchorId="33B9B9EB" wp14:editId="771E493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434B9D" w14:textId="77777777" w:rsidR="00D058B8" w:rsidRPr="00E145FF" w:rsidRDefault="00D058B8" w:rsidP="004C5D52">
      <w:pPr>
        <w:pStyle w:val="LineTop"/>
      </w:pPr>
    </w:p>
    <w:p w14:paraId="4CB89A7B" w14:textId="77777777" w:rsidR="00680577" w:rsidRPr="00E145FF" w:rsidRDefault="00E9055D" w:rsidP="00680577">
      <w:pPr>
        <w:pStyle w:val="EPBodyTA1"/>
      </w:pPr>
      <w:r w:rsidRPr="00E145FF">
        <w:t>PRIJATÉ TEXTY</w:t>
      </w:r>
    </w:p>
    <w:p w14:paraId="610B2F5B" w14:textId="77777777" w:rsidR="00D058B8" w:rsidRPr="00E145FF" w:rsidRDefault="00D058B8" w:rsidP="00D058B8">
      <w:pPr>
        <w:pStyle w:val="LineBottom"/>
      </w:pPr>
    </w:p>
    <w:p w14:paraId="0524ABA0" w14:textId="69DE5551" w:rsidR="00E9055D" w:rsidRPr="00E145FF" w:rsidRDefault="00E9055D" w:rsidP="00E9055D">
      <w:pPr>
        <w:pStyle w:val="ATHeading1"/>
      </w:pPr>
      <w:bookmarkStart w:id="0" w:name="TANumber"/>
      <w:r w:rsidRPr="00E145FF">
        <w:t>P10_TA(2026)0</w:t>
      </w:r>
      <w:r w:rsidR="00E145FF" w:rsidRPr="00E145FF">
        <w:t>238</w:t>
      </w:r>
      <w:bookmarkEnd w:id="0"/>
    </w:p>
    <w:p w14:paraId="6AD8CC60" w14:textId="77777777" w:rsidR="00E9055D" w:rsidRPr="00E145FF" w:rsidRDefault="00E9055D" w:rsidP="00E9055D">
      <w:pPr>
        <w:pStyle w:val="ATHeading2"/>
      </w:pPr>
      <w:bookmarkStart w:id="1" w:name="title"/>
      <w:r w:rsidRPr="00E145FF">
        <w:t>Práva cestujúcich v leteckej doprave</w:t>
      </w:r>
      <w:bookmarkEnd w:id="1"/>
    </w:p>
    <w:p w14:paraId="1A256202" w14:textId="77777777" w:rsidR="00E9055D" w:rsidRPr="00E145FF" w:rsidRDefault="00E9055D" w:rsidP="00E9055D">
      <w:pPr>
        <w:rPr>
          <w:i/>
          <w:vanish/>
        </w:rPr>
      </w:pPr>
      <w:r w:rsidRPr="00E145FF">
        <w:rPr>
          <w:i/>
        </w:rPr>
        <w:fldChar w:fldCharType="begin"/>
      </w:r>
      <w:r w:rsidRPr="00E145FF">
        <w:rPr>
          <w:i/>
        </w:rPr>
        <w:instrText xml:space="preserve"> TC"(</w:instrText>
      </w:r>
      <w:bookmarkStart w:id="2" w:name="DocNumber"/>
      <w:r w:rsidRPr="00E145FF">
        <w:rPr>
          <w:i/>
        </w:rPr>
        <w:instrText>A10-0191/2026</w:instrText>
      </w:r>
      <w:bookmarkEnd w:id="2"/>
      <w:r w:rsidRPr="00E145FF">
        <w:rPr>
          <w:i/>
        </w:rPr>
        <w:instrText xml:space="preserve"> - Spravodajkyňa: Roberta </w:instrText>
      </w:r>
      <w:proofErr w:type="spellStart"/>
      <w:r w:rsidRPr="00E145FF">
        <w:rPr>
          <w:i/>
        </w:rPr>
        <w:instrText>Metsola</w:instrText>
      </w:r>
      <w:proofErr w:type="spellEnd"/>
      <w:r w:rsidRPr="00E145FF">
        <w:rPr>
          <w:i/>
        </w:rPr>
        <w:instrText xml:space="preserve">)"\l3 \n&gt; \* MERGEFORMAT </w:instrText>
      </w:r>
      <w:r w:rsidRPr="00E145FF">
        <w:rPr>
          <w:i/>
        </w:rPr>
        <w:fldChar w:fldCharType="end"/>
      </w:r>
    </w:p>
    <w:p w14:paraId="272DA631" w14:textId="77777777" w:rsidR="00E9055D" w:rsidRPr="00E145FF" w:rsidRDefault="00E9055D" w:rsidP="00E9055D">
      <w:pPr>
        <w:rPr>
          <w:vanish/>
        </w:rPr>
      </w:pPr>
      <w:bookmarkStart w:id="3" w:name="Commission"/>
      <w:r w:rsidRPr="00E145FF">
        <w:rPr>
          <w:vanish/>
        </w:rPr>
        <w:t>Delegácia Európskeho parlamentu v Zmierovacom výbore</w:t>
      </w:r>
      <w:bookmarkEnd w:id="3"/>
    </w:p>
    <w:p w14:paraId="1D4D79DF" w14:textId="77777777" w:rsidR="00E9055D" w:rsidRPr="00E145FF" w:rsidRDefault="00E9055D" w:rsidP="00E9055D">
      <w:pPr>
        <w:rPr>
          <w:vanish/>
        </w:rPr>
      </w:pPr>
      <w:bookmarkStart w:id="4" w:name="PE"/>
      <w:r w:rsidRPr="00E145FF">
        <w:rPr>
          <w:vanish/>
        </w:rPr>
        <w:t>PE790.161</w:t>
      </w:r>
      <w:bookmarkEnd w:id="4"/>
    </w:p>
    <w:p w14:paraId="40493235" w14:textId="52E4E8AE" w:rsidR="00E9055D" w:rsidRPr="00E145FF" w:rsidRDefault="00E9055D" w:rsidP="00E9055D">
      <w:pPr>
        <w:pStyle w:val="ATHeading3"/>
      </w:pPr>
      <w:bookmarkStart w:id="5" w:name="Sujet"/>
      <w:r w:rsidRPr="00E145FF">
        <w:t xml:space="preserve">Legislatívne uznesenie Európskeho parlamentu zo </w:t>
      </w:r>
      <w:r w:rsidR="00914997" w:rsidRPr="00E145FF">
        <w:t>7</w:t>
      </w:r>
      <w:r w:rsidRPr="00E145FF">
        <w:t xml:space="preserve">. </w:t>
      </w:r>
      <w:r w:rsidR="00914997" w:rsidRPr="00E145FF">
        <w:t xml:space="preserve">júla </w:t>
      </w:r>
      <w:r w:rsidRPr="00E145FF">
        <w:t>2026 o spoločnom návrhu nariadenia Európskeho parlamentu a Rady, ktorým sa mení nariadenie (ES) č. 261/2004, ktorým sa ustanovujú spoločné pravidlá systému náhrad a pomoci cestujúcim pri odmietnutí nástupu do lietadla, v prípade zrušenia alebo veľkého meškania letov, a nariadenie (ES) č. 2027/97 o zodpovednosti leteckého dopravcu pri preprave cestujúcich a ich batožiny v leteckej doprave, ktorý schválil Zmierovací výbor</w:t>
      </w:r>
      <w:bookmarkEnd w:id="5"/>
      <w:r w:rsidRPr="00E145FF">
        <w:t xml:space="preserve"> </w:t>
      </w:r>
      <w:bookmarkStart w:id="6" w:name="References"/>
      <w:r w:rsidRPr="00E145FF">
        <w:t>(PE-CONS 00039/2026 – C10-0144/2026 – 2013/0072(COD))</w:t>
      </w:r>
      <w:bookmarkEnd w:id="6"/>
    </w:p>
    <w:p w14:paraId="4D7367EC" w14:textId="77777777" w:rsidR="00D376D0" w:rsidRPr="00E145FF" w:rsidRDefault="00D376D0" w:rsidP="00D376D0">
      <w:pPr>
        <w:pStyle w:val="NormalBold"/>
      </w:pPr>
      <w:r w:rsidRPr="00E145FF">
        <w:t>(Riadny legislatívny postup: tretie čítanie)</w:t>
      </w:r>
    </w:p>
    <w:p w14:paraId="5F6696F5" w14:textId="77777777" w:rsidR="00D376D0" w:rsidRPr="00E145FF" w:rsidRDefault="00D376D0" w:rsidP="00D376D0">
      <w:pPr>
        <w:pStyle w:val="EPComma"/>
      </w:pPr>
      <w:r w:rsidRPr="00E145FF">
        <w:rPr>
          <w:i/>
        </w:rPr>
        <w:t>Európsky parlament</w:t>
      </w:r>
      <w:r w:rsidRPr="00E145FF">
        <w:t>,</w:t>
      </w:r>
    </w:p>
    <w:p w14:paraId="7DBA271E" w14:textId="77777777" w:rsidR="00D376D0" w:rsidRPr="00E145FF" w:rsidRDefault="00D376D0" w:rsidP="00D376D0">
      <w:pPr>
        <w:pStyle w:val="NormalHanging12a"/>
      </w:pPr>
      <w:r w:rsidRPr="00E145FF">
        <w:t>–</w:t>
      </w:r>
      <w:r w:rsidRPr="00E145FF">
        <w:tab/>
        <w:t>so zreteľom na spoločný text schválený Zmierovacím výborom (PE-CONS 00039/2026 – C10</w:t>
      </w:r>
      <w:r w:rsidRPr="00E145FF">
        <w:noBreakHyphen/>
        <w:t>0144/2026),</w:t>
      </w:r>
    </w:p>
    <w:p w14:paraId="697B9C3D" w14:textId="77777777" w:rsidR="00D376D0" w:rsidRPr="00E145FF" w:rsidRDefault="00D376D0" w:rsidP="00D376D0">
      <w:pPr>
        <w:pStyle w:val="NormalHanging12a"/>
      </w:pPr>
      <w:r w:rsidRPr="00E145FF">
        <w:t>–</w:t>
      </w:r>
      <w:r w:rsidRPr="00E145FF">
        <w:tab/>
        <w:t>so zreteľom na stanovisko Európskeho hospodárskeho a sociálneho výboru z 11. júla 2013</w:t>
      </w:r>
      <w:r w:rsidRPr="00E145FF">
        <w:rPr>
          <w:rStyle w:val="FootnoteReference"/>
        </w:rPr>
        <w:footnoteReference w:id="1"/>
      </w:r>
      <w:r w:rsidRPr="00E145FF">
        <w:t>,</w:t>
      </w:r>
    </w:p>
    <w:p w14:paraId="67D6A0CC" w14:textId="09C652AA" w:rsidR="00914997" w:rsidRPr="00E145FF" w:rsidRDefault="00914997" w:rsidP="00D376D0">
      <w:pPr>
        <w:pStyle w:val="NormalHanging12a"/>
      </w:pPr>
      <w:r w:rsidRPr="00E145FF">
        <w:t>–</w:t>
      </w:r>
      <w:r w:rsidRPr="00E145FF">
        <w:tab/>
        <w:t>po porade s Výborom regiónov,</w:t>
      </w:r>
    </w:p>
    <w:p w14:paraId="4625B131" w14:textId="77777777" w:rsidR="00D376D0" w:rsidRPr="00E145FF" w:rsidRDefault="00D376D0" w:rsidP="00D376D0">
      <w:pPr>
        <w:pStyle w:val="NormalHanging12a"/>
      </w:pPr>
      <w:r w:rsidRPr="00E145FF">
        <w:t>–</w:t>
      </w:r>
      <w:r w:rsidRPr="00E145FF">
        <w:tab/>
        <w:t>so zreteľom na svoju pozíciu v prvom čítaní</w:t>
      </w:r>
      <w:r w:rsidRPr="00E145FF">
        <w:rPr>
          <w:rStyle w:val="FootnoteReference"/>
        </w:rPr>
        <w:footnoteReference w:id="2"/>
      </w:r>
      <w:r w:rsidRPr="00E145FF">
        <w:t xml:space="preserve"> k návrhu Komisie pre Európsky parlament a Radu (COM(2013)0130),</w:t>
      </w:r>
    </w:p>
    <w:p w14:paraId="2F0B8742" w14:textId="77777777" w:rsidR="00D376D0" w:rsidRPr="00E145FF" w:rsidRDefault="00D376D0" w:rsidP="00D376D0">
      <w:pPr>
        <w:pStyle w:val="NormalHanging12a"/>
      </w:pPr>
      <w:r w:rsidRPr="00E145FF">
        <w:t>–</w:t>
      </w:r>
      <w:r w:rsidRPr="00E145FF">
        <w:tab/>
        <w:t>so zreteľom na svoju pozíciu v druhom čítaní</w:t>
      </w:r>
      <w:r w:rsidRPr="00E145FF">
        <w:rPr>
          <w:rStyle w:val="FootnoteReference"/>
        </w:rPr>
        <w:footnoteReference w:id="3"/>
      </w:r>
      <w:r w:rsidRPr="00E145FF">
        <w:t xml:space="preserve"> k pozícii Rady v prvom čítaní</w:t>
      </w:r>
      <w:r w:rsidRPr="00E145FF">
        <w:rPr>
          <w:rStyle w:val="FootnoteReference"/>
        </w:rPr>
        <w:footnoteReference w:id="4"/>
      </w:r>
      <w:r w:rsidRPr="00E145FF">
        <w:t>,</w:t>
      </w:r>
    </w:p>
    <w:p w14:paraId="6850BC60" w14:textId="77777777" w:rsidR="00D376D0" w:rsidRPr="00E145FF" w:rsidRDefault="00D376D0" w:rsidP="00D376D0">
      <w:pPr>
        <w:pStyle w:val="NormalHanging12a"/>
      </w:pPr>
      <w:r w:rsidRPr="00E145FF">
        <w:t>–</w:t>
      </w:r>
      <w:r w:rsidRPr="00E145FF">
        <w:tab/>
        <w:t xml:space="preserve">so zreteľom na stanovisko Komisie k pozmeňujúcim návrhom Európskeho parlamentu </w:t>
      </w:r>
      <w:r w:rsidRPr="00E145FF">
        <w:lastRenderedPageBreak/>
        <w:t>k pozícii Rady v prvom čítaní (COM(2026)0129),</w:t>
      </w:r>
    </w:p>
    <w:p w14:paraId="7C57A110" w14:textId="77777777" w:rsidR="00D376D0" w:rsidRPr="00E145FF" w:rsidRDefault="00D376D0" w:rsidP="00D376D0">
      <w:pPr>
        <w:pStyle w:val="NormalHanging12a"/>
      </w:pPr>
      <w:r w:rsidRPr="00E145FF">
        <w:t>–</w:t>
      </w:r>
      <w:r w:rsidRPr="00E145FF">
        <w:tab/>
        <w:t>so zreteľom na pozíciu Rady v druhom čítaní,</w:t>
      </w:r>
    </w:p>
    <w:p w14:paraId="48CADC1F" w14:textId="77777777" w:rsidR="00D376D0" w:rsidRPr="00E145FF" w:rsidRDefault="00D376D0" w:rsidP="00D376D0">
      <w:pPr>
        <w:pStyle w:val="NormalHanging12a"/>
      </w:pPr>
      <w:r w:rsidRPr="00E145FF">
        <w:t>–</w:t>
      </w:r>
      <w:r w:rsidRPr="00E145FF">
        <w:tab/>
        <w:t>so zreteľom na článok 294 ods. 13 Zmluvy o fungovaní Európskej únie,</w:t>
      </w:r>
    </w:p>
    <w:p w14:paraId="296B6E19" w14:textId="77777777" w:rsidR="00D376D0" w:rsidRPr="00E145FF" w:rsidRDefault="00D376D0" w:rsidP="00D376D0">
      <w:pPr>
        <w:pStyle w:val="NormalHanging12a"/>
      </w:pPr>
      <w:r w:rsidRPr="00E145FF">
        <w:t>–</w:t>
      </w:r>
      <w:r w:rsidRPr="00E145FF">
        <w:tab/>
        <w:t>so zreteľom na článok 79 rokovacieho poriadku,</w:t>
      </w:r>
    </w:p>
    <w:p w14:paraId="196B90F2" w14:textId="77777777" w:rsidR="00D376D0" w:rsidRPr="00E145FF" w:rsidRDefault="00D376D0" w:rsidP="00D376D0">
      <w:pPr>
        <w:pStyle w:val="NormalHanging12a"/>
      </w:pPr>
      <w:r w:rsidRPr="00E145FF">
        <w:t>–</w:t>
      </w:r>
      <w:r w:rsidRPr="00E145FF">
        <w:tab/>
        <w:t>so zreteľom na správu svojej delegácie v Zmierovacom výbore (A10-0191/2026),</w:t>
      </w:r>
    </w:p>
    <w:p w14:paraId="4EA461EA" w14:textId="77777777" w:rsidR="00D376D0" w:rsidRPr="00E145FF" w:rsidRDefault="00D376D0" w:rsidP="00D376D0">
      <w:pPr>
        <w:pStyle w:val="NormalHanging12a"/>
      </w:pPr>
      <w:r w:rsidRPr="00E145FF">
        <w:t>1.</w:t>
      </w:r>
      <w:r w:rsidRPr="00E145FF">
        <w:tab/>
        <w:t>schvaľuje spoločný text;</w:t>
      </w:r>
    </w:p>
    <w:p w14:paraId="134D2B39" w14:textId="77777777" w:rsidR="00D376D0" w:rsidRPr="00E145FF" w:rsidRDefault="00D376D0" w:rsidP="00D376D0">
      <w:pPr>
        <w:pStyle w:val="NormalHanging12a"/>
      </w:pPr>
      <w:r w:rsidRPr="00E145FF">
        <w:t>2.</w:t>
      </w:r>
      <w:r w:rsidRPr="00E145FF">
        <w:tab/>
        <w:t>poveruje svoju predsedníčku, aby podpísala akt spoločne s predsedom Rady, v súlade s článkom 297 ods. 1 Zmluvy o fungovaní Európskej únie;</w:t>
      </w:r>
    </w:p>
    <w:p w14:paraId="127FDBB0" w14:textId="77777777" w:rsidR="00D376D0" w:rsidRPr="00E145FF" w:rsidRDefault="00D376D0" w:rsidP="00D376D0">
      <w:pPr>
        <w:pStyle w:val="NormalHanging12a"/>
      </w:pPr>
      <w:r w:rsidRPr="00E145FF">
        <w:t>3.</w:t>
      </w:r>
      <w:r w:rsidRPr="00E145FF">
        <w:tab/>
        <w:t xml:space="preserve">poveruje svojho generálneho tajomníka, aby podpísal akt hneď potom, čo sa overí, že všetky postupy boli náležite ukončené, a aby s generálnym tajomníkom Rady zabezpečil jeho uverejnenie v </w:t>
      </w:r>
      <w:r w:rsidRPr="00E145FF">
        <w:rPr>
          <w:i/>
          <w:iCs/>
        </w:rPr>
        <w:t>Úradnom vestníku Európskej únie</w:t>
      </w:r>
      <w:r w:rsidRPr="00E145FF">
        <w:t>;</w:t>
      </w:r>
    </w:p>
    <w:p w14:paraId="4E1BA855" w14:textId="6D7FC98B" w:rsidR="00DF2ACC" w:rsidRPr="00E145FF" w:rsidRDefault="00D376D0" w:rsidP="00DF2ACC">
      <w:pPr>
        <w:pStyle w:val="NormalHanging12a"/>
      </w:pPr>
      <w:r w:rsidRPr="00E145FF">
        <w:t>4.</w:t>
      </w:r>
      <w:r w:rsidRPr="00E145FF">
        <w:tab/>
        <w:t>poveruje svoju predsedníčku, aby postúpila toto legislatívne uznesenie Rade, Komisii, ako aj národným parlamentom.</w:t>
      </w:r>
    </w:p>
    <w:p w14:paraId="6313B82D" w14:textId="18F31D54" w:rsidR="00E365E1" w:rsidRPr="00E145FF" w:rsidRDefault="00E365E1" w:rsidP="00E9055D"/>
    <w:sectPr w:rsidR="00E365E1" w:rsidRPr="00E145FF" w:rsidSect="00DF2A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17870" w14:textId="77777777" w:rsidR="00E9055D" w:rsidRPr="00DF2ACC" w:rsidRDefault="00E9055D">
      <w:r w:rsidRPr="00DF2ACC">
        <w:separator/>
      </w:r>
    </w:p>
  </w:endnote>
  <w:endnote w:type="continuationSeparator" w:id="0">
    <w:p w14:paraId="1AC5E49C" w14:textId="77777777" w:rsidR="00E9055D" w:rsidRPr="00DF2ACC" w:rsidRDefault="00E9055D">
      <w:r w:rsidRPr="00DF2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1B903" w14:textId="77777777" w:rsidR="00064002" w:rsidRPr="00DF2AC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5094C" w14:textId="77777777" w:rsidR="00064002" w:rsidRPr="00DF2AC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E3AE8" w14:textId="77777777" w:rsidR="00064002" w:rsidRPr="00DF2AC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A170C" w14:textId="77777777" w:rsidR="00E9055D" w:rsidRPr="00DF2ACC" w:rsidRDefault="00E9055D">
      <w:r w:rsidRPr="00DF2ACC">
        <w:separator/>
      </w:r>
    </w:p>
  </w:footnote>
  <w:footnote w:type="continuationSeparator" w:id="0">
    <w:p w14:paraId="65B9D553" w14:textId="77777777" w:rsidR="00E9055D" w:rsidRPr="00DF2ACC" w:rsidRDefault="00E9055D">
      <w:r w:rsidRPr="00DF2ACC">
        <w:continuationSeparator/>
      </w:r>
    </w:p>
  </w:footnote>
  <w:footnote w:id="1">
    <w:p w14:paraId="57400176" w14:textId="13694266" w:rsidR="00D376D0" w:rsidRPr="00DF2ACC" w:rsidRDefault="00D376D0" w:rsidP="00DF2ACC">
      <w:pPr>
        <w:pStyle w:val="FootnoteText"/>
        <w:ind w:left="567" w:hanging="567"/>
        <w:rPr>
          <w:sz w:val="24"/>
          <w:lang w:val="sk-SK"/>
        </w:rPr>
      </w:pPr>
      <w:r w:rsidRPr="00DF2ACC">
        <w:rPr>
          <w:rStyle w:val="FootnoteReference"/>
          <w:sz w:val="24"/>
          <w:lang w:val="sk-SK"/>
        </w:rPr>
        <w:footnoteRef/>
      </w:r>
      <w:r w:rsidR="00DF2ACC" w:rsidRPr="00DF2ACC">
        <w:rPr>
          <w:sz w:val="24"/>
          <w:lang w:val="sk-SK"/>
        </w:rPr>
        <w:t xml:space="preserve"> </w:t>
      </w:r>
      <w:r w:rsidR="00DF2ACC" w:rsidRPr="00DF2ACC">
        <w:rPr>
          <w:sz w:val="24"/>
          <w:lang w:val="sk-SK"/>
        </w:rPr>
        <w:tab/>
      </w:r>
      <w:r w:rsidRPr="00DF2ACC">
        <w:rPr>
          <w:sz w:val="24"/>
          <w:lang w:val="sk-SK"/>
        </w:rPr>
        <w:t xml:space="preserve">Ú. v. EÚ C 327, 12.11.2013, ELI: </w:t>
      </w:r>
      <w:hyperlink r:id="rId1" w:history="1">
        <w:r w:rsidRPr="00DF2ACC">
          <w:rPr>
            <w:rStyle w:val="Hyperlink"/>
            <w:sz w:val="24"/>
            <w:lang w:val="sk-SK"/>
          </w:rPr>
          <w:t>https://eur-lex.europa.eu/legal-content/sk/TXT/?uri=celex:52013AE2576</w:t>
        </w:r>
      </w:hyperlink>
      <w:r w:rsidRPr="00DF2ACC">
        <w:rPr>
          <w:sz w:val="24"/>
          <w:lang w:val="sk-SK"/>
        </w:rPr>
        <w:t>.</w:t>
      </w:r>
    </w:p>
  </w:footnote>
  <w:footnote w:id="2">
    <w:p w14:paraId="4D84F7B0" w14:textId="4CE1B347" w:rsidR="00D376D0" w:rsidRPr="00DF2ACC" w:rsidRDefault="00D376D0" w:rsidP="00DF2ACC">
      <w:pPr>
        <w:pStyle w:val="FootnoteText"/>
        <w:ind w:left="567" w:hanging="567"/>
        <w:rPr>
          <w:sz w:val="24"/>
          <w:lang w:val="sk-SK"/>
        </w:rPr>
      </w:pPr>
      <w:r w:rsidRPr="00DF2ACC">
        <w:rPr>
          <w:rStyle w:val="FootnoteReference"/>
          <w:sz w:val="24"/>
          <w:lang w:val="sk-SK"/>
        </w:rPr>
        <w:footnoteRef/>
      </w:r>
      <w:r w:rsidR="00DF2ACC" w:rsidRPr="00DF2ACC">
        <w:rPr>
          <w:sz w:val="24"/>
          <w:lang w:val="sk-SK"/>
        </w:rPr>
        <w:t xml:space="preserve"> </w:t>
      </w:r>
      <w:r w:rsidR="00DF2ACC" w:rsidRPr="00DF2ACC">
        <w:rPr>
          <w:sz w:val="24"/>
          <w:lang w:val="sk-SK"/>
        </w:rPr>
        <w:tab/>
      </w:r>
      <w:r w:rsidRPr="00DF2ACC">
        <w:rPr>
          <w:sz w:val="24"/>
          <w:lang w:val="sk-SK"/>
        </w:rPr>
        <w:t xml:space="preserve">Ú. v. </w:t>
      </w:r>
      <w:r w:rsidRPr="00DF2ACC">
        <w:rPr>
          <w:sz w:val="24"/>
          <w:lang w:val="sk-SK"/>
        </w:rPr>
        <w:t xml:space="preserve">EÚ C 93, 24.3.2017, ELI: </w:t>
      </w:r>
      <w:hyperlink r:id="rId2" w:history="1">
        <w:r w:rsidRPr="00DF2ACC">
          <w:rPr>
            <w:rStyle w:val="Hyperlink"/>
            <w:sz w:val="24"/>
            <w:lang w:val="sk-SK"/>
          </w:rPr>
          <w:t>https://eur-lex.europa.eu/legal-content/SK/TXT/?uri=celex%3A52014AP0092</w:t>
        </w:r>
      </w:hyperlink>
      <w:r w:rsidRPr="00DF2ACC">
        <w:rPr>
          <w:sz w:val="24"/>
          <w:lang w:val="sk-SK"/>
        </w:rPr>
        <w:t>/Prijaté texty 5.2.2014, P7_TA(2014)0092.</w:t>
      </w:r>
    </w:p>
  </w:footnote>
  <w:footnote w:id="3">
    <w:p w14:paraId="011F0364" w14:textId="7986F8CE" w:rsidR="00D376D0" w:rsidRPr="00DF2ACC" w:rsidRDefault="00D376D0" w:rsidP="00DF2ACC">
      <w:pPr>
        <w:pStyle w:val="FootnoteText"/>
        <w:ind w:left="567" w:hanging="567"/>
        <w:rPr>
          <w:sz w:val="24"/>
          <w:lang w:val="sk-SK"/>
        </w:rPr>
      </w:pPr>
      <w:r w:rsidRPr="00DF2ACC">
        <w:rPr>
          <w:rStyle w:val="FootnoteReference"/>
          <w:sz w:val="24"/>
          <w:lang w:val="sk-SK"/>
        </w:rPr>
        <w:footnoteRef/>
      </w:r>
      <w:r w:rsidR="00DF2ACC" w:rsidRPr="00DF2ACC">
        <w:rPr>
          <w:sz w:val="24"/>
          <w:lang w:val="sk-SK"/>
        </w:rPr>
        <w:t xml:space="preserve"> </w:t>
      </w:r>
      <w:r w:rsidR="00DF2ACC" w:rsidRPr="00DF2ACC">
        <w:rPr>
          <w:sz w:val="24"/>
          <w:lang w:val="sk-SK"/>
        </w:rPr>
        <w:tab/>
      </w:r>
      <w:r w:rsidRPr="00DF2ACC">
        <w:rPr>
          <w:sz w:val="24"/>
          <w:lang w:val="sk-SK"/>
        </w:rPr>
        <w:t>Prijaté texty, 21.1.2026, P10_TA(2026)0009.</w:t>
      </w:r>
    </w:p>
  </w:footnote>
  <w:footnote w:id="4">
    <w:p w14:paraId="1DD1CEC0" w14:textId="16459FA7" w:rsidR="00D376D0" w:rsidRPr="00DF2ACC" w:rsidRDefault="00D376D0" w:rsidP="00DF2ACC">
      <w:pPr>
        <w:pStyle w:val="FootnoteText"/>
        <w:ind w:left="567" w:hanging="567"/>
        <w:rPr>
          <w:sz w:val="24"/>
          <w:lang w:val="sk-SK"/>
        </w:rPr>
      </w:pPr>
      <w:r w:rsidRPr="00DF2ACC">
        <w:rPr>
          <w:rStyle w:val="FootnoteReference"/>
          <w:sz w:val="24"/>
          <w:lang w:val="sk-SK"/>
        </w:rPr>
        <w:footnoteRef/>
      </w:r>
      <w:r w:rsidR="00DF2ACC" w:rsidRPr="00DF2ACC">
        <w:rPr>
          <w:sz w:val="24"/>
          <w:lang w:val="sk-SK"/>
        </w:rPr>
        <w:t xml:space="preserve"> </w:t>
      </w:r>
      <w:r w:rsidR="00DF2ACC" w:rsidRPr="00DF2ACC">
        <w:rPr>
          <w:sz w:val="24"/>
          <w:lang w:val="sk-SK"/>
        </w:rPr>
        <w:tab/>
      </w:r>
      <w:r w:rsidRPr="00DF2ACC">
        <w:rPr>
          <w:sz w:val="24"/>
          <w:lang w:val="sk-SK"/>
        </w:rPr>
        <w:t>Ú. v. </w:t>
      </w:r>
      <w:r w:rsidRPr="00DF2ACC">
        <w:rPr>
          <w:sz w:val="24"/>
          <w:lang w:val="sk-SK"/>
        </w:rPr>
        <w:t xml:space="preserve">EÚ C, C/2025/5782, 30.10.2025, ELI: </w:t>
      </w:r>
      <w:hyperlink r:id="rId3" w:history="1">
        <w:r w:rsidRPr="00DF2ACC">
          <w:rPr>
            <w:rStyle w:val="Hyperlink"/>
            <w:sz w:val="24"/>
            <w:lang w:val="sk-SK"/>
          </w:rPr>
          <w:t>https://eur-lex.europa.eu/legal-content/SK/TXT/?uri=celex%3A52025AG0010%2801%29</w:t>
        </w:r>
      </w:hyperlink>
      <w:r w:rsidRPr="00DF2ACC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30CD4" w14:textId="77777777" w:rsidR="00064002" w:rsidRPr="00DF2AC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2B465" w14:textId="77777777" w:rsidR="00064002" w:rsidRPr="00DF2AC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78BE7" w14:textId="77777777" w:rsidR="00064002" w:rsidRPr="00DF2AC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72066296">
    <w:abstractNumId w:val="9"/>
  </w:num>
  <w:num w:numId="2" w16cid:durableId="2066490375">
    <w:abstractNumId w:val="9"/>
  </w:num>
  <w:num w:numId="3" w16cid:durableId="1311405050">
    <w:abstractNumId w:val="7"/>
  </w:num>
  <w:num w:numId="4" w16cid:durableId="1993025800">
    <w:abstractNumId w:val="7"/>
  </w:num>
  <w:num w:numId="5" w16cid:durableId="358168295">
    <w:abstractNumId w:val="6"/>
  </w:num>
  <w:num w:numId="6" w16cid:durableId="1504200003">
    <w:abstractNumId w:val="6"/>
  </w:num>
  <w:num w:numId="7" w16cid:durableId="73671187">
    <w:abstractNumId w:val="5"/>
  </w:num>
  <w:num w:numId="8" w16cid:durableId="169368197">
    <w:abstractNumId w:val="5"/>
  </w:num>
  <w:num w:numId="9" w16cid:durableId="1803037173">
    <w:abstractNumId w:val="4"/>
  </w:num>
  <w:num w:numId="10" w16cid:durableId="1086851327">
    <w:abstractNumId w:val="4"/>
  </w:num>
  <w:num w:numId="11" w16cid:durableId="1288706908">
    <w:abstractNumId w:val="8"/>
  </w:num>
  <w:num w:numId="12" w16cid:durableId="58134033">
    <w:abstractNumId w:val="8"/>
  </w:num>
  <w:num w:numId="13" w16cid:durableId="1408111313">
    <w:abstractNumId w:val="3"/>
  </w:num>
  <w:num w:numId="14" w16cid:durableId="1087917666">
    <w:abstractNumId w:val="3"/>
  </w:num>
  <w:num w:numId="15" w16cid:durableId="1226835045">
    <w:abstractNumId w:val="2"/>
  </w:num>
  <w:num w:numId="16" w16cid:durableId="837382986">
    <w:abstractNumId w:val="2"/>
  </w:num>
  <w:num w:numId="17" w16cid:durableId="2085251401">
    <w:abstractNumId w:val="1"/>
  </w:num>
  <w:num w:numId="18" w16cid:durableId="628784886">
    <w:abstractNumId w:val="1"/>
  </w:num>
  <w:num w:numId="19" w16cid:durableId="651450157">
    <w:abstractNumId w:val="0"/>
  </w:num>
  <w:num w:numId="20" w16cid:durableId="1735663890">
    <w:abstractNumId w:val="0"/>
  </w:num>
  <w:num w:numId="21" w16cid:durableId="744373679">
    <w:abstractNumId w:val="9"/>
  </w:num>
  <w:num w:numId="22" w16cid:durableId="422576939">
    <w:abstractNumId w:val="7"/>
  </w:num>
  <w:num w:numId="23" w16cid:durableId="1273396949">
    <w:abstractNumId w:val="6"/>
  </w:num>
  <w:num w:numId="24" w16cid:durableId="1928035970">
    <w:abstractNumId w:val="5"/>
  </w:num>
  <w:num w:numId="25" w16cid:durableId="623923786">
    <w:abstractNumId w:val="4"/>
  </w:num>
  <w:num w:numId="26" w16cid:durableId="1985114855">
    <w:abstractNumId w:val="8"/>
  </w:num>
  <w:num w:numId="27" w16cid:durableId="910700117">
    <w:abstractNumId w:val="3"/>
  </w:num>
  <w:num w:numId="28" w16cid:durableId="1547794544">
    <w:abstractNumId w:val="2"/>
  </w:num>
  <w:num w:numId="29" w16cid:durableId="1224020892">
    <w:abstractNumId w:val="1"/>
  </w:num>
  <w:num w:numId="30" w16cid:durableId="73089949">
    <w:abstractNumId w:val="0"/>
  </w:num>
  <w:num w:numId="31" w16cid:durableId="1669137220">
    <w:abstractNumId w:val="9"/>
  </w:num>
  <w:num w:numId="32" w16cid:durableId="1714843473">
    <w:abstractNumId w:val="7"/>
  </w:num>
  <w:num w:numId="33" w16cid:durableId="1020158183">
    <w:abstractNumId w:val="6"/>
  </w:num>
  <w:num w:numId="34" w16cid:durableId="502016624">
    <w:abstractNumId w:val="5"/>
  </w:num>
  <w:num w:numId="35" w16cid:durableId="523371878">
    <w:abstractNumId w:val="4"/>
  </w:num>
  <w:num w:numId="36" w16cid:durableId="1073507741">
    <w:abstractNumId w:val="8"/>
  </w:num>
  <w:num w:numId="37" w16cid:durableId="1415318192">
    <w:abstractNumId w:val="3"/>
  </w:num>
  <w:num w:numId="38" w16cid:durableId="1465855765">
    <w:abstractNumId w:val="2"/>
  </w:num>
  <w:num w:numId="39" w16cid:durableId="603341833">
    <w:abstractNumId w:val="1"/>
  </w:num>
  <w:num w:numId="40" w16cid:durableId="124466739">
    <w:abstractNumId w:val="0"/>
  </w:num>
  <w:num w:numId="41" w16cid:durableId="846364344">
    <w:abstractNumId w:val="10"/>
  </w:num>
  <w:num w:numId="42" w16cid:durableId="686441646">
    <w:abstractNumId w:val="10"/>
  </w:num>
  <w:num w:numId="43" w16cid:durableId="855268649">
    <w:abstractNumId w:val="10"/>
  </w:num>
  <w:num w:numId="44" w16cid:durableId="17967484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1/2026"/>
    <w:docVar w:name="dvlangue" w:val="SK"/>
    <w:docVar w:name="dvnumam" w:val="0"/>
    <w:docVar w:name="dvpe" w:val="790.161"/>
    <w:docVar w:name="dvrapporteur" w:val="Spravodajkyňa: "/>
    <w:docVar w:name="dvstar" w:val="***III"/>
    <w:docVar w:name="dvtitre" w:val="Legislatívne uznesenie Európskeho parlamentu z/zo xx. xxx 2026 o spoločnom návrhu nariadenia Európskeho parlamentu a Rady, ktorým sa mení nariadenie (ES) č. 261/2004, ktorým sa ustanovujú spoločné pravidlá systému náhrad a pomoci cestujúcim pri odmietnutí nástupu do lietadla, v prípade zrušenia alebo veľkého meškania letov, a nariadenie (ES) č. 2027/97 o zodpovednosti leteckého dopravcu pri preprave cestujúcich a ich batožiny v leteckej doprave, ktorý schválil Zmierovací výbor(PE-CONS 00039/2026 – C10-0144/2026 – 2013/0072(COD))"/>
  </w:docVars>
  <w:rsids>
    <w:rsidRoot w:val="00E9055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6A87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221B"/>
    <w:rsid w:val="00914997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76D0"/>
    <w:rsid w:val="00D56C11"/>
    <w:rsid w:val="00D834A0"/>
    <w:rsid w:val="00D872DF"/>
    <w:rsid w:val="00D91E21"/>
    <w:rsid w:val="00DA7FCD"/>
    <w:rsid w:val="00DF0A4E"/>
    <w:rsid w:val="00DF2ACC"/>
    <w:rsid w:val="00E145FF"/>
    <w:rsid w:val="00E365E1"/>
    <w:rsid w:val="00E820A4"/>
    <w:rsid w:val="00E9055D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FAC9D8"/>
  <w15:chartTrackingRefBased/>
  <w15:docId w15:val="{2EBE869F-3963-45A6-8EB6-CD4B3B678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376D0"/>
    <w:pPr>
      <w:spacing w:before="480" w:after="240"/>
    </w:pPr>
  </w:style>
  <w:style w:type="paragraph" w:customStyle="1" w:styleId="NormalBold">
    <w:name w:val="NormalBold"/>
    <w:basedOn w:val="Normal"/>
    <w:rsid w:val="00D376D0"/>
    <w:rPr>
      <w:b/>
    </w:rPr>
  </w:style>
  <w:style w:type="paragraph" w:customStyle="1" w:styleId="NormalHanging12a">
    <w:name w:val="NormalHanging12a"/>
    <w:basedOn w:val="Normal"/>
    <w:rsid w:val="00D376D0"/>
    <w:pPr>
      <w:spacing w:after="240"/>
      <w:ind w:left="567" w:hanging="567"/>
    </w:pPr>
  </w:style>
  <w:style w:type="character" w:styleId="Hyperlink">
    <w:name w:val="Hyperlink"/>
    <w:basedOn w:val="DefaultParagraphFont"/>
    <w:rsid w:val="00D376D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914997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legal-content/SK/TXT/?uri=celex%3A52025AG0010%2801%29" TargetMode="External"/><Relationship Id="rId2" Type="http://schemas.openxmlformats.org/officeDocument/2006/relationships/hyperlink" Target="https://eur-lex.europa.eu/legal-content/SK/TXT/?uri=celex%3A52014AP0092" TargetMode="External"/><Relationship Id="rId1" Type="http://schemas.openxmlformats.org/officeDocument/2006/relationships/hyperlink" Target="https://eur-lex.europa.eu/legal-content/sk/TXT/?uri=celex:52013AE257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2026-07-07T09:23:00Z</dcterms:created>
  <dcterms:modified xsi:type="dcterms:W3CDTF">2026-07-07T09:23:00Z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A10-0191/2026</vt:lpwstr>
  </property>
  <property fmtid="{D5CDD505-2E9C-101B-9397-08002B2CF9AE}" pid="4" name="&lt;Type&gt;">
    <vt:lpwstr>RR</vt:lpwstr>
  </property>
</Properties>
</file>