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358F" w14:paraId="47D93A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7222DB" w14:textId="77777777" w:rsidR="00751A4A" w:rsidRPr="00F4358F" w:rsidRDefault="000968A5" w:rsidP="0010095E">
            <w:pPr>
              <w:pStyle w:val="EPName"/>
            </w:pPr>
            <w:r w:rsidRPr="00F4358F">
              <w:t>Evropski parlament</w:t>
            </w:r>
          </w:p>
          <w:p w14:paraId="61AFE52D" w14:textId="77777777" w:rsidR="00751A4A" w:rsidRPr="00F435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358F">
              <w:t>2024</w:t>
            </w:r>
            <w:r w:rsidR="00817416" w:rsidRPr="00F4358F">
              <w:t>-202</w:t>
            </w:r>
            <w:r w:rsidRPr="00F4358F">
              <w:t>9</w:t>
            </w:r>
          </w:p>
        </w:tc>
        <w:tc>
          <w:tcPr>
            <w:tcW w:w="2268" w:type="dxa"/>
            <w:shd w:val="clear" w:color="auto" w:fill="auto"/>
          </w:tcPr>
          <w:p w14:paraId="33F7E356" w14:textId="77777777" w:rsidR="00751A4A" w:rsidRPr="00F4358F" w:rsidRDefault="00187494" w:rsidP="0010095E">
            <w:pPr>
              <w:pStyle w:val="EPLogo"/>
            </w:pPr>
            <w:r w:rsidRPr="00F4358F">
              <w:rPr>
                <w:noProof/>
                <w:lang w:eastAsia="ja-JP"/>
              </w:rPr>
              <w:drawing>
                <wp:inline distT="0" distB="0" distL="0" distR="0" wp14:anchorId="7A7F91EC" wp14:editId="0B0DF5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B84F66" w14:textId="77777777" w:rsidR="00D058B8" w:rsidRPr="00F4358F" w:rsidRDefault="00D058B8" w:rsidP="004C5D52">
      <w:pPr>
        <w:pStyle w:val="LineTop"/>
      </w:pPr>
    </w:p>
    <w:p w14:paraId="00CB004F" w14:textId="77777777" w:rsidR="00680577" w:rsidRPr="00F4358F" w:rsidRDefault="000968A5" w:rsidP="00680577">
      <w:pPr>
        <w:pStyle w:val="EPBodyTA1"/>
      </w:pPr>
      <w:r w:rsidRPr="00F4358F">
        <w:t>SPREJETA BESEDILA</w:t>
      </w:r>
    </w:p>
    <w:p w14:paraId="06D77ABE" w14:textId="77777777" w:rsidR="00D058B8" w:rsidRPr="00F4358F" w:rsidRDefault="00D058B8" w:rsidP="00D058B8">
      <w:pPr>
        <w:pStyle w:val="LineBottom"/>
      </w:pPr>
    </w:p>
    <w:p w14:paraId="138C8CAA" w14:textId="540A2AA9" w:rsidR="000968A5" w:rsidRPr="00F4358F" w:rsidRDefault="000968A5" w:rsidP="000968A5">
      <w:pPr>
        <w:pStyle w:val="ATHeading1"/>
      </w:pPr>
      <w:bookmarkStart w:id="0" w:name="TANumber"/>
      <w:r w:rsidRPr="00F4358F">
        <w:t>P10_TA(2026)0</w:t>
      </w:r>
      <w:bookmarkEnd w:id="0"/>
      <w:r w:rsidR="00F4358F" w:rsidRPr="00F4358F">
        <w:t>238</w:t>
      </w:r>
    </w:p>
    <w:p w14:paraId="11FD193C" w14:textId="77777777" w:rsidR="000968A5" w:rsidRPr="00F4358F" w:rsidRDefault="000968A5" w:rsidP="000968A5">
      <w:pPr>
        <w:pStyle w:val="ATHeading2"/>
      </w:pPr>
      <w:bookmarkStart w:id="1" w:name="title"/>
      <w:r w:rsidRPr="00F4358F">
        <w:t>Pravice letalskih potnikov</w:t>
      </w:r>
      <w:bookmarkEnd w:id="1"/>
    </w:p>
    <w:p w14:paraId="35BDC8DC" w14:textId="77777777" w:rsidR="000968A5" w:rsidRPr="00F4358F" w:rsidRDefault="000968A5" w:rsidP="000968A5">
      <w:pPr>
        <w:rPr>
          <w:i/>
          <w:vanish/>
        </w:rPr>
      </w:pPr>
      <w:r w:rsidRPr="00F4358F">
        <w:rPr>
          <w:i/>
        </w:rPr>
        <w:fldChar w:fldCharType="begin"/>
      </w:r>
      <w:r w:rsidRPr="00F4358F">
        <w:rPr>
          <w:i/>
        </w:rPr>
        <w:instrText xml:space="preserve"> TC"(</w:instrText>
      </w:r>
      <w:bookmarkStart w:id="2" w:name="DocNumber"/>
      <w:r w:rsidRPr="00F4358F">
        <w:rPr>
          <w:i/>
        </w:rPr>
        <w:instrText>A10-0191/2026</w:instrText>
      </w:r>
      <w:bookmarkEnd w:id="2"/>
      <w:r w:rsidRPr="00F4358F">
        <w:rPr>
          <w:i/>
        </w:rPr>
        <w:instrText xml:space="preserve"> - Poročevalec: Andrej Novakov)"\l3 \n&gt; \* MERGEFORMAT </w:instrText>
      </w:r>
      <w:r w:rsidRPr="00F4358F">
        <w:rPr>
          <w:i/>
        </w:rPr>
        <w:fldChar w:fldCharType="end"/>
      </w:r>
    </w:p>
    <w:p w14:paraId="4CCF68A4" w14:textId="77777777" w:rsidR="000968A5" w:rsidRPr="00F4358F" w:rsidRDefault="000968A5" w:rsidP="000968A5">
      <w:pPr>
        <w:rPr>
          <w:vanish/>
        </w:rPr>
      </w:pPr>
      <w:bookmarkStart w:id="3" w:name="Commission"/>
      <w:r w:rsidRPr="00F4358F">
        <w:rPr>
          <w:vanish/>
        </w:rPr>
        <w:t>Delegacija Evropskega parlamenta v spravnem odboru</w:t>
      </w:r>
      <w:bookmarkEnd w:id="3"/>
    </w:p>
    <w:p w14:paraId="4BEE2D1A" w14:textId="77777777" w:rsidR="000968A5" w:rsidRPr="00F4358F" w:rsidRDefault="000968A5" w:rsidP="000968A5">
      <w:pPr>
        <w:rPr>
          <w:vanish/>
        </w:rPr>
      </w:pPr>
      <w:bookmarkStart w:id="4" w:name="PE"/>
      <w:r w:rsidRPr="00F4358F">
        <w:rPr>
          <w:vanish/>
        </w:rPr>
        <w:t>PE790.161</w:t>
      </w:r>
      <w:bookmarkEnd w:id="4"/>
    </w:p>
    <w:p w14:paraId="0B4509E7" w14:textId="0314AE5C" w:rsidR="000968A5" w:rsidRPr="00F4358F" w:rsidRDefault="000968A5" w:rsidP="000968A5">
      <w:pPr>
        <w:pStyle w:val="ATHeading3"/>
      </w:pPr>
      <w:bookmarkStart w:id="5" w:name="Sujet"/>
      <w:r w:rsidRPr="00F4358F">
        <w:t xml:space="preserve">Zakonodajna resolucija Evropskega parlamenta z dne </w:t>
      </w:r>
      <w:r w:rsidR="00214873" w:rsidRPr="00F4358F">
        <w:t>7</w:t>
      </w:r>
      <w:r w:rsidRPr="00F4358F">
        <w:t>. julija 2026 o skupnem besedilu uredbe Evropskega parlamenta in Sveta o spremembi Uredbe (ES) št. 261/2004 o določitvi skupnih pravil glede odškodnine in pomoči potnikom v primerih zavrnitve vkrcanja, odpovedi ali velike zamude letov ter Uredbe (ES) št. 2027/97 o odgovornosti letalskih prevoznikov v zvezi z letalskim prevozom potnikov in njihove prtljage, ki ga je potrdil spravni odbor</w:t>
      </w:r>
      <w:bookmarkEnd w:id="5"/>
      <w:r w:rsidRPr="00F4358F">
        <w:t xml:space="preserve"> </w:t>
      </w:r>
      <w:bookmarkStart w:id="6" w:name="References"/>
      <w:r w:rsidRPr="00F4358F">
        <w:t>(PE-CONS 00039/2026 – C10-0144/2026 – 2013/0072(COD))</w:t>
      </w:r>
      <w:bookmarkEnd w:id="6"/>
    </w:p>
    <w:p w14:paraId="751640E8" w14:textId="77777777" w:rsidR="00A60766" w:rsidRPr="00F4358F" w:rsidRDefault="00A60766" w:rsidP="00A60766">
      <w:pPr>
        <w:pStyle w:val="NormalBold"/>
      </w:pPr>
      <w:r w:rsidRPr="00F4358F">
        <w:t>(Redni zakonodajni postopek: tretja obravnava)</w:t>
      </w:r>
    </w:p>
    <w:p w14:paraId="71C4F964" w14:textId="77777777" w:rsidR="00A60766" w:rsidRPr="00F4358F" w:rsidRDefault="00A60766" w:rsidP="00A60766">
      <w:pPr>
        <w:pStyle w:val="EPComma"/>
      </w:pPr>
      <w:r w:rsidRPr="00F4358F">
        <w:rPr>
          <w:i/>
        </w:rPr>
        <w:t>Evropski parlament</w:t>
      </w:r>
      <w:r w:rsidRPr="00F4358F">
        <w:t>,</w:t>
      </w:r>
    </w:p>
    <w:p w14:paraId="2CA06DEF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skupnega besedila, ki ga je odobril spravni odbor (PE-CONS 00039/2026 – C10</w:t>
      </w:r>
      <w:r w:rsidRPr="00F4358F">
        <w:noBreakHyphen/>
        <w:t>0144/2026),</w:t>
      </w:r>
    </w:p>
    <w:p w14:paraId="21A6465D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mnenja Evropskega ekonomsko-socialnega odbora z dne 11. julija 2013</w:t>
      </w:r>
      <w:r w:rsidRPr="00F4358F">
        <w:rPr>
          <w:rStyle w:val="FootnoteReference"/>
        </w:rPr>
        <w:footnoteReference w:id="1"/>
      </w:r>
      <w:r w:rsidRPr="00F4358F">
        <w:t>,</w:t>
      </w:r>
    </w:p>
    <w:p w14:paraId="039B8BBF" w14:textId="742F4CEF" w:rsidR="00214873" w:rsidRPr="00F4358F" w:rsidRDefault="00214873" w:rsidP="00A60766">
      <w:pPr>
        <w:pStyle w:val="NormalHanging12a"/>
      </w:pPr>
      <w:r w:rsidRPr="00F4358F">
        <w:t>–</w:t>
      </w:r>
      <w:r w:rsidRPr="00F4358F">
        <w:tab/>
        <w:t>po posvetovanju z Odborom regij,</w:t>
      </w:r>
    </w:p>
    <w:p w14:paraId="02E61DC7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svojega stališča v prvi obravnavi</w:t>
      </w:r>
      <w:r w:rsidRPr="00F4358F">
        <w:rPr>
          <w:rStyle w:val="FootnoteReference"/>
        </w:rPr>
        <w:footnoteReference w:id="2"/>
      </w:r>
      <w:r w:rsidRPr="00F4358F">
        <w:t xml:space="preserve"> o predlogu Komisije Evropskemu parlamentu in Svetu (COM(2013)0130),</w:t>
      </w:r>
    </w:p>
    <w:p w14:paraId="5111136A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svojega stališča v drugi obravnavi</w:t>
      </w:r>
      <w:r w:rsidRPr="00F4358F">
        <w:rPr>
          <w:rStyle w:val="FootnoteReference"/>
        </w:rPr>
        <w:footnoteReference w:id="3"/>
      </w:r>
      <w:r w:rsidRPr="00F4358F">
        <w:t xml:space="preserve"> o stališču Sveta v prvi obravnavi</w:t>
      </w:r>
      <w:r w:rsidRPr="00F4358F">
        <w:rPr>
          <w:rStyle w:val="FootnoteReference"/>
        </w:rPr>
        <w:footnoteReference w:id="4"/>
      </w:r>
      <w:r w:rsidRPr="00F4358F">
        <w:t>,</w:t>
      </w:r>
    </w:p>
    <w:p w14:paraId="1722A53A" w14:textId="0C9AC85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 xml:space="preserve">ob upoštevanju mnenja Komisije o spremembah stališča Sveta v prvi obravnavi, ki jih je </w:t>
      </w:r>
      <w:r w:rsidRPr="00F4358F">
        <w:lastRenderedPageBreak/>
        <w:t>predlagal Parlament (COM(2026)0129)</w:t>
      </w:r>
      <w:r w:rsidR="00214873" w:rsidRPr="00F4358F">
        <w:t>,</w:t>
      </w:r>
    </w:p>
    <w:p w14:paraId="272952C7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stališča Sveta v drugi obravnavi,</w:t>
      </w:r>
    </w:p>
    <w:p w14:paraId="77595250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člena 294(13) Pogodbe o delovanju Evropske unije,</w:t>
      </w:r>
    </w:p>
    <w:p w14:paraId="38B7C5D8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člena 79 Poslovnika,</w:t>
      </w:r>
    </w:p>
    <w:p w14:paraId="7D2DAFD4" w14:textId="77777777" w:rsidR="00A60766" w:rsidRPr="00F4358F" w:rsidRDefault="00A60766" w:rsidP="00A60766">
      <w:pPr>
        <w:pStyle w:val="NormalHanging12a"/>
      </w:pPr>
      <w:r w:rsidRPr="00F4358F">
        <w:t>–</w:t>
      </w:r>
      <w:r w:rsidRPr="00F4358F">
        <w:tab/>
        <w:t>ob upoštevanju poročila delegacije Evropskega parlamenta v spravnem odboru (A10</w:t>
      </w:r>
      <w:r w:rsidRPr="00F4358F">
        <w:noBreakHyphen/>
        <w:t>0191/2026),</w:t>
      </w:r>
    </w:p>
    <w:p w14:paraId="5CBF5957" w14:textId="77777777" w:rsidR="00A60766" w:rsidRPr="00F4358F" w:rsidRDefault="00A60766" w:rsidP="00A60766">
      <w:pPr>
        <w:pStyle w:val="NormalHanging12a"/>
      </w:pPr>
      <w:r w:rsidRPr="00F4358F">
        <w:t>1.</w:t>
      </w:r>
      <w:r w:rsidRPr="00F4358F">
        <w:tab/>
        <w:t>odobri skupno besedilo;</w:t>
      </w:r>
    </w:p>
    <w:p w14:paraId="33D34C3A" w14:textId="77777777" w:rsidR="00A60766" w:rsidRPr="00F4358F" w:rsidRDefault="00A60766" w:rsidP="00A60766">
      <w:pPr>
        <w:pStyle w:val="NormalHanging12a"/>
      </w:pPr>
      <w:r w:rsidRPr="00F4358F">
        <w:t>2.</w:t>
      </w:r>
      <w:r w:rsidRPr="00F4358F">
        <w:tab/>
        <w:t>naroči svoji predsednici, naj podpiše akt s predsednikom Sveta v skladu s členom 297(1) Pogodbe o delovanju Evropske unije;</w:t>
      </w:r>
    </w:p>
    <w:p w14:paraId="4C201CF2" w14:textId="77777777" w:rsidR="00A60766" w:rsidRPr="00F4358F" w:rsidRDefault="00A60766" w:rsidP="00A60766">
      <w:pPr>
        <w:pStyle w:val="NormalHanging12a"/>
      </w:pPr>
      <w:r w:rsidRPr="00F4358F">
        <w:t>3.</w:t>
      </w:r>
      <w:r w:rsidRPr="00F4358F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F4358F">
        <w:rPr>
          <w:i/>
        </w:rPr>
        <w:t>Uradnem listu Evropske unije</w:t>
      </w:r>
      <w:r w:rsidRPr="00F4358F">
        <w:t>;</w:t>
      </w:r>
    </w:p>
    <w:p w14:paraId="006E962D" w14:textId="62AFCD6E" w:rsidR="00E365E1" w:rsidRPr="00F4358F" w:rsidRDefault="00A60766" w:rsidP="00214873">
      <w:pPr>
        <w:pStyle w:val="NormalHanging12a"/>
      </w:pPr>
      <w:r w:rsidRPr="00F4358F">
        <w:t>4.</w:t>
      </w:r>
      <w:r w:rsidRPr="00F4358F">
        <w:tab/>
        <w:t>naroči svoji predsednici, naj to zakonodajno resolucijo posreduje Svetu in Komisiji ter nacionalnim parlamentom.</w:t>
      </w:r>
    </w:p>
    <w:sectPr w:rsidR="00E365E1" w:rsidRPr="00F4358F" w:rsidSect="00B015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793F" w14:textId="77777777" w:rsidR="000968A5" w:rsidRPr="00B015E6" w:rsidRDefault="000968A5">
      <w:r w:rsidRPr="00B015E6">
        <w:separator/>
      </w:r>
    </w:p>
  </w:endnote>
  <w:endnote w:type="continuationSeparator" w:id="0">
    <w:p w14:paraId="2390DCF8" w14:textId="77777777" w:rsidR="000968A5" w:rsidRPr="00B015E6" w:rsidRDefault="000968A5">
      <w:r w:rsidRPr="00B015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B45F" w14:textId="77777777" w:rsidR="00064002" w:rsidRPr="00B015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ACC9" w14:textId="77777777" w:rsidR="00064002" w:rsidRPr="00B015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3B4E" w14:textId="77777777" w:rsidR="00064002" w:rsidRPr="00B015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6B1B" w14:textId="77777777" w:rsidR="000968A5" w:rsidRPr="00B015E6" w:rsidRDefault="000968A5">
      <w:r w:rsidRPr="00B015E6">
        <w:separator/>
      </w:r>
    </w:p>
  </w:footnote>
  <w:footnote w:type="continuationSeparator" w:id="0">
    <w:p w14:paraId="1708752B" w14:textId="77777777" w:rsidR="000968A5" w:rsidRPr="00B015E6" w:rsidRDefault="000968A5">
      <w:r w:rsidRPr="00B015E6">
        <w:continuationSeparator/>
      </w:r>
    </w:p>
  </w:footnote>
  <w:footnote w:id="1">
    <w:p w14:paraId="38995B2F" w14:textId="702BC3FF" w:rsidR="00A60766" w:rsidRPr="00B015E6" w:rsidRDefault="00A60766" w:rsidP="00B015E6">
      <w:pPr>
        <w:pStyle w:val="FootnoteText"/>
        <w:ind w:left="567" w:hanging="567"/>
        <w:rPr>
          <w:sz w:val="24"/>
          <w:lang w:val="sl-SI"/>
        </w:rPr>
      </w:pPr>
      <w:r w:rsidRPr="00B015E6">
        <w:rPr>
          <w:rStyle w:val="FootnoteReference"/>
          <w:sz w:val="24"/>
          <w:lang w:val="sl-SI"/>
        </w:rPr>
        <w:footnoteRef/>
      </w:r>
      <w:r w:rsidR="00B015E6" w:rsidRPr="00B015E6">
        <w:rPr>
          <w:sz w:val="24"/>
          <w:lang w:val="sl-SI"/>
        </w:rPr>
        <w:t xml:space="preserve"> </w:t>
      </w:r>
      <w:r w:rsidR="00B015E6" w:rsidRPr="00B015E6">
        <w:rPr>
          <w:sz w:val="24"/>
          <w:lang w:val="sl-SI"/>
        </w:rPr>
        <w:tab/>
      </w:r>
      <w:r w:rsidRPr="00B015E6">
        <w:rPr>
          <w:sz w:val="24"/>
          <w:lang w:val="sl-SI"/>
        </w:rPr>
        <w:t xml:space="preserve">UL C 327, 12.11.2013, ELI: </w:t>
      </w:r>
      <w:hyperlink r:id="rId1" w:history="1">
        <w:r w:rsidRPr="00B015E6">
          <w:rPr>
            <w:rStyle w:val="Hyperlink"/>
            <w:sz w:val="24"/>
            <w:lang w:val="sl-SI"/>
          </w:rPr>
          <w:t>https://eur-lex.europa.eu/legal-content/sl/TXT/?uri=celex:52013AE2576</w:t>
        </w:r>
      </w:hyperlink>
      <w:r w:rsidRPr="00B015E6">
        <w:rPr>
          <w:sz w:val="24"/>
          <w:lang w:val="sl-SI"/>
        </w:rPr>
        <w:t>.</w:t>
      </w:r>
    </w:p>
  </w:footnote>
  <w:footnote w:id="2">
    <w:p w14:paraId="6E4BEDD7" w14:textId="251365DF" w:rsidR="00A60766" w:rsidRPr="00B015E6" w:rsidRDefault="00A60766" w:rsidP="00B015E6">
      <w:pPr>
        <w:pStyle w:val="FootnoteText"/>
        <w:ind w:left="567" w:hanging="567"/>
        <w:rPr>
          <w:sz w:val="24"/>
          <w:lang w:val="sl-SI"/>
        </w:rPr>
      </w:pPr>
      <w:r w:rsidRPr="00B015E6">
        <w:rPr>
          <w:rStyle w:val="FootnoteReference"/>
          <w:sz w:val="24"/>
          <w:lang w:val="sl-SI"/>
        </w:rPr>
        <w:footnoteRef/>
      </w:r>
      <w:r w:rsidR="00B015E6" w:rsidRPr="00B015E6">
        <w:rPr>
          <w:sz w:val="24"/>
          <w:lang w:val="sl-SI"/>
        </w:rPr>
        <w:t xml:space="preserve"> </w:t>
      </w:r>
      <w:r w:rsidR="00B015E6" w:rsidRPr="00B015E6">
        <w:rPr>
          <w:sz w:val="24"/>
          <w:lang w:val="sl-SI"/>
        </w:rPr>
        <w:tab/>
      </w:r>
      <w:r w:rsidRPr="00B015E6">
        <w:rPr>
          <w:sz w:val="24"/>
          <w:lang w:val="sl-SI"/>
        </w:rPr>
        <w:t xml:space="preserve">UL C 93, 24.3.2017, ELI: </w:t>
      </w:r>
      <w:hyperlink r:id="rId2" w:history="1">
        <w:r w:rsidRPr="00B015E6">
          <w:rPr>
            <w:rStyle w:val="Hyperlink"/>
            <w:sz w:val="24"/>
            <w:lang w:val="sl-SI"/>
          </w:rPr>
          <w:t>https://eur-lex.europa.eu/legal-content/SL/TXT/?uri=celex%3A52014AP0092</w:t>
        </w:r>
      </w:hyperlink>
      <w:r w:rsidR="00F4358F">
        <w:t>;</w:t>
      </w:r>
      <w:r w:rsidRPr="00B015E6">
        <w:rPr>
          <w:sz w:val="24"/>
          <w:lang w:val="sl-SI"/>
        </w:rPr>
        <w:t xml:space="preserve"> Sprejeta besedila 5.2.2014, P7_TA(2014)0092.</w:t>
      </w:r>
    </w:p>
  </w:footnote>
  <w:footnote w:id="3">
    <w:p w14:paraId="71F05427" w14:textId="7116181B" w:rsidR="00A60766" w:rsidRPr="00B015E6" w:rsidRDefault="00A60766" w:rsidP="00B015E6">
      <w:pPr>
        <w:pStyle w:val="FootnoteText"/>
        <w:ind w:left="567" w:hanging="567"/>
        <w:rPr>
          <w:sz w:val="24"/>
          <w:lang w:val="sl-SI"/>
        </w:rPr>
      </w:pPr>
      <w:r w:rsidRPr="00B015E6">
        <w:rPr>
          <w:rStyle w:val="FootnoteReference"/>
          <w:sz w:val="24"/>
          <w:lang w:val="sl-SI"/>
        </w:rPr>
        <w:footnoteRef/>
      </w:r>
      <w:r w:rsidR="00B015E6" w:rsidRPr="00B015E6">
        <w:rPr>
          <w:sz w:val="24"/>
          <w:lang w:val="sl-SI"/>
        </w:rPr>
        <w:t xml:space="preserve"> </w:t>
      </w:r>
      <w:r w:rsidR="00B015E6" w:rsidRPr="00B015E6">
        <w:rPr>
          <w:sz w:val="24"/>
          <w:lang w:val="sl-SI"/>
        </w:rPr>
        <w:tab/>
      </w:r>
      <w:r w:rsidRPr="00B015E6">
        <w:rPr>
          <w:sz w:val="24"/>
          <w:lang w:val="sl-SI"/>
        </w:rPr>
        <w:t>Sprejeta besedila, 21.1.2026, P10_TA(2026)0009.</w:t>
      </w:r>
    </w:p>
  </w:footnote>
  <w:footnote w:id="4">
    <w:p w14:paraId="2BD95088" w14:textId="79A19E36" w:rsidR="00A60766" w:rsidRPr="00B015E6" w:rsidRDefault="00A60766" w:rsidP="00B015E6">
      <w:pPr>
        <w:pStyle w:val="FootnoteText"/>
        <w:ind w:left="567" w:hanging="567"/>
        <w:rPr>
          <w:sz w:val="24"/>
          <w:lang w:val="sl-SI"/>
        </w:rPr>
      </w:pPr>
      <w:r w:rsidRPr="00B015E6">
        <w:rPr>
          <w:rStyle w:val="FootnoteReference"/>
          <w:sz w:val="24"/>
          <w:lang w:val="sl-SI"/>
        </w:rPr>
        <w:footnoteRef/>
      </w:r>
      <w:r w:rsidR="00B015E6" w:rsidRPr="00B015E6">
        <w:rPr>
          <w:sz w:val="24"/>
          <w:lang w:val="sl-SI"/>
        </w:rPr>
        <w:t xml:space="preserve"> </w:t>
      </w:r>
      <w:r w:rsidR="00B015E6" w:rsidRPr="00B015E6">
        <w:rPr>
          <w:sz w:val="24"/>
          <w:lang w:val="sl-SI"/>
        </w:rPr>
        <w:tab/>
      </w:r>
      <w:r w:rsidRPr="00B015E6">
        <w:rPr>
          <w:sz w:val="24"/>
          <w:lang w:val="sl-SI"/>
        </w:rPr>
        <w:t xml:space="preserve">UL C, C/2025/5782, 30.10.2025, ELI: </w:t>
      </w:r>
      <w:hyperlink r:id="rId3" w:history="1">
        <w:r w:rsidRPr="00B015E6">
          <w:rPr>
            <w:rStyle w:val="Hyperlink"/>
            <w:sz w:val="24"/>
            <w:lang w:val="sl-SI"/>
          </w:rPr>
          <w:t>https://eur-lex.europa.eu/legal-content/SL/TXT/?uri=celex%3A52025AG0010%2801%29</w:t>
        </w:r>
      </w:hyperlink>
      <w:r w:rsidRPr="00B015E6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4AE8" w14:textId="77777777" w:rsidR="00064002" w:rsidRPr="00B015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3F86" w14:textId="77777777" w:rsidR="00064002" w:rsidRPr="00B015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DBE4" w14:textId="77777777" w:rsidR="00064002" w:rsidRPr="00B015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2947831">
    <w:abstractNumId w:val="9"/>
  </w:num>
  <w:num w:numId="2" w16cid:durableId="1715156263">
    <w:abstractNumId w:val="9"/>
  </w:num>
  <w:num w:numId="3" w16cid:durableId="401299108">
    <w:abstractNumId w:val="7"/>
  </w:num>
  <w:num w:numId="4" w16cid:durableId="1980646765">
    <w:abstractNumId w:val="7"/>
  </w:num>
  <w:num w:numId="5" w16cid:durableId="529419517">
    <w:abstractNumId w:val="6"/>
  </w:num>
  <w:num w:numId="6" w16cid:durableId="943810394">
    <w:abstractNumId w:val="6"/>
  </w:num>
  <w:num w:numId="7" w16cid:durableId="51931546">
    <w:abstractNumId w:val="5"/>
  </w:num>
  <w:num w:numId="8" w16cid:durableId="1397434655">
    <w:abstractNumId w:val="5"/>
  </w:num>
  <w:num w:numId="9" w16cid:durableId="1469782272">
    <w:abstractNumId w:val="4"/>
  </w:num>
  <w:num w:numId="10" w16cid:durableId="243224644">
    <w:abstractNumId w:val="4"/>
  </w:num>
  <w:num w:numId="11" w16cid:durableId="1277835536">
    <w:abstractNumId w:val="8"/>
  </w:num>
  <w:num w:numId="12" w16cid:durableId="1477338226">
    <w:abstractNumId w:val="8"/>
  </w:num>
  <w:num w:numId="13" w16cid:durableId="1153182625">
    <w:abstractNumId w:val="3"/>
  </w:num>
  <w:num w:numId="14" w16cid:durableId="611015743">
    <w:abstractNumId w:val="3"/>
  </w:num>
  <w:num w:numId="15" w16cid:durableId="1042749989">
    <w:abstractNumId w:val="2"/>
  </w:num>
  <w:num w:numId="16" w16cid:durableId="702168042">
    <w:abstractNumId w:val="2"/>
  </w:num>
  <w:num w:numId="17" w16cid:durableId="880703058">
    <w:abstractNumId w:val="1"/>
  </w:num>
  <w:num w:numId="18" w16cid:durableId="608707368">
    <w:abstractNumId w:val="1"/>
  </w:num>
  <w:num w:numId="19" w16cid:durableId="1669400769">
    <w:abstractNumId w:val="0"/>
  </w:num>
  <w:num w:numId="20" w16cid:durableId="831992703">
    <w:abstractNumId w:val="0"/>
  </w:num>
  <w:num w:numId="21" w16cid:durableId="1823617430">
    <w:abstractNumId w:val="9"/>
  </w:num>
  <w:num w:numId="22" w16cid:durableId="1842428847">
    <w:abstractNumId w:val="7"/>
  </w:num>
  <w:num w:numId="23" w16cid:durableId="2040475075">
    <w:abstractNumId w:val="6"/>
  </w:num>
  <w:num w:numId="24" w16cid:durableId="118963906">
    <w:abstractNumId w:val="5"/>
  </w:num>
  <w:num w:numId="25" w16cid:durableId="691228028">
    <w:abstractNumId w:val="4"/>
  </w:num>
  <w:num w:numId="26" w16cid:durableId="1138689723">
    <w:abstractNumId w:val="8"/>
  </w:num>
  <w:num w:numId="27" w16cid:durableId="1457796755">
    <w:abstractNumId w:val="3"/>
  </w:num>
  <w:num w:numId="28" w16cid:durableId="840851294">
    <w:abstractNumId w:val="2"/>
  </w:num>
  <w:num w:numId="29" w16cid:durableId="1677999901">
    <w:abstractNumId w:val="1"/>
  </w:num>
  <w:num w:numId="30" w16cid:durableId="620723406">
    <w:abstractNumId w:val="0"/>
  </w:num>
  <w:num w:numId="31" w16cid:durableId="1138303472">
    <w:abstractNumId w:val="9"/>
  </w:num>
  <w:num w:numId="32" w16cid:durableId="987634998">
    <w:abstractNumId w:val="7"/>
  </w:num>
  <w:num w:numId="33" w16cid:durableId="280915474">
    <w:abstractNumId w:val="6"/>
  </w:num>
  <w:num w:numId="34" w16cid:durableId="1073895763">
    <w:abstractNumId w:val="5"/>
  </w:num>
  <w:num w:numId="35" w16cid:durableId="216822040">
    <w:abstractNumId w:val="4"/>
  </w:num>
  <w:num w:numId="36" w16cid:durableId="672728057">
    <w:abstractNumId w:val="8"/>
  </w:num>
  <w:num w:numId="37" w16cid:durableId="694816730">
    <w:abstractNumId w:val="3"/>
  </w:num>
  <w:num w:numId="38" w16cid:durableId="1074626153">
    <w:abstractNumId w:val="2"/>
  </w:num>
  <w:num w:numId="39" w16cid:durableId="194119108">
    <w:abstractNumId w:val="1"/>
  </w:num>
  <w:num w:numId="40" w16cid:durableId="377750541">
    <w:abstractNumId w:val="0"/>
  </w:num>
  <w:num w:numId="41" w16cid:durableId="705330066">
    <w:abstractNumId w:val="10"/>
  </w:num>
  <w:num w:numId="42" w16cid:durableId="1867712526">
    <w:abstractNumId w:val="10"/>
  </w:num>
  <w:num w:numId="43" w16cid:durableId="207839514">
    <w:abstractNumId w:val="10"/>
  </w:num>
  <w:num w:numId="44" w16cid:durableId="1987125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SL"/>
    <w:docVar w:name="dvnumam" w:val="0"/>
    <w:docVar w:name="dvpe" w:val="790.161"/>
    <w:docVar w:name="dvrapporteur" w:val="Poročevalec: "/>
    <w:docVar w:name="dvstar" w:val="***III"/>
    <w:docVar w:name="dvtitre" w:val="Zakonodajna resolucija Evropskega parlamenta z dne xx. julija 2026 o skupnem besedilu uredbe Evropskega parlamenta in Sveta o spremembi Uredbe (ES) št. 261/2004 o določitvi skupnih pravil glede odškodnine in pomoči potnikom v primerih zavrnitve vkrcanja, odpovedi ali velike zamude letov ter Uredbe (ES) št. 2027/97 o odgovornosti letalskih prevoznikov v zvezi z letalskim prevozom potnikov in njihove prtljage, ki ga je potrdil spravni odbor(PE-CONS 00039/2026 – C10-0144/2026 – 2013/0072(COD))"/>
  </w:docVars>
  <w:rsids>
    <w:rsidRoot w:val="000968A5"/>
    <w:rsid w:val="00002272"/>
    <w:rsid w:val="00064002"/>
    <w:rsid w:val="000677B9"/>
    <w:rsid w:val="000831BA"/>
    <w:rsid w:val="000968A5"/>
    <w:rsid w:val="000A42CC"/>
    <w:rsid w:val="000E7DD9"/>
    <w:rsid w:val="0010095E"/>
    <w:rsid w:val="00125B37"/>
    <w:rsid w:val="00187494"/>
    <w:rsid w:val="001F32AE"/>
    <w:rsid w:val="00214873"/>
    <w:rsid w:val="00272419"/>
    <w:rsid w:val="002767FF"/>
    <w:rsid w:val="002B18FE"/>
    <w:rsid w:val="002B5493"/>
    <w:rsid w:val="002E3858"/>
    <w:rsid w:val="002F5C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766"/>
    <w:rsid w:val="00A778C7"/>
    <w:rsid w:val="00AB441E"/>
    <w:rsid w:val="00AB6293"/>
    <w:rsid w:val="00AE0928"/>
    <w:rsid w:val="00AF3B82"/>
    <w:rsid w:val="00B015E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58F"/>
    <w:rsid w:val="00F5134D"/>
    <w:rsid w:val="00F74202"/>
    <w:rsid w:val="00F87713"/>
    <w:rsid w:val="00F931E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D8728"/>
  <w15:chartTrackingRefBased/>
  <w15:docId w15:val="{D8CF5AFD-EA61-45DF-911E-604BFF45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0766"/>
    <w:pPr>
      <w:spacing w:before="480" w:after="240"/>
    </w:pPr>
  </w:style>
  <w:style w:type="paragraph" w:customStyle="1" w:styleId="NormalBold">
    <w:name w:val="NormalBold"/>
    <w:basedOn w:val="Normal"/>
    <w:rsid w:val="00A60766"/>
    <w:rPr>
      <w:b/>
    </w:rPr>
  </w:style>
  <w:style w:type="paragraph" w:customStyle="1" w:styleId="NormalHanging12a">
    <w:name w:val="NormalHanging12a"/>
    <w:basedOn w:val="Normal"/>
    <w:rsid w:val="00A60766"/>
    <w:pPr>
      <w:spacing w:after="240"/>
      <w:ind w:left="567" w:hanging="567"/>
    </w:pPr>
  </w:style>
  <w:style w:type="character" w:styleId="Hyperlink">
    <w:name w:val="Hyperlink"/>
    <w:basedOn w:val="DefaultParagraphFont"/>
    <w:rsid w:val="00A6076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14873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SL/TXT/?uri=celex%3A52025AG0010%2801%29" TargetMode="External"/><Relationship Id="rId2" Type="http://schemas.openxmlformats.org/officeDocument/2006/relationships/hyperlink" Target="https://eur-lex.europa.eu/legal-content/SL/TXT/?uri=celex%3A52014AP0092" TargetMode="External"/><Relationship Id="rId1" Type="http://schemas.openxmlformats.org/officeDocument/2006/relationships/hyperlink" Target="https://eur-lex.europa.eu/legal-content/sl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2026-07-07T07:28:00Z</dcterms:created>
  <dcterms:modified xsi:type="dcterms:W3CDTF">2026-07-07T07:28:00Z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