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B482B" w14:paraId="5F397312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59F4667" w14:textId="5281A7C4" w:rsidR="00751A4A" w:rsidRPr="00BB482B" w:rsidRDefault="003A5D3F" w:rsidP="0010095E">
            <w:pPr>
              <w:pStyle w:val="EPName"/>
            </w:pPr>
            <w:r w:rsidRPr="00BB482B">
              <w:t>Europaparlamentet</w:t>
            </w:r>
          </w:p>
          <w:p w14:paraId="1A5CA1C1" w14:textId="77777777" w:rsidR="00751A4A" w:rsidRPr="00BB482B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B482B">
              <w:t>2024</w:t>
            </w:r>
            <w:r w:rsidR="00817416" w:rsidRPr="00BB482B">
              <w:t>-202</w:t>
            </w:r>
            <w:r w:rsidRPr="00BB482B">
              <w:t>9</w:t>
            </w:r>
          </w:p>
        </w:tc>
        <w:tc>
          <w:tcPr>
            <w:tcW w:w="2268" w:type="dxa"/>
            <w:shd w:val="clear" w:color="auto" w:fill="auto"/>
          </w:tcPr>
          <w:p w14:paraId="6EB635C3" w14:textId="77777777" w:rsidR="00751A4A" w:rsidRPr="00BB482B" w:rsidRDefault="00187494" w:rsidP="0010095E">
            <w:pPr>
              <w:pStyle w:val="EPLogo"/>
            </w:pPr>
            <w:r w:rsidRPr="00BB482B">
              <w:rPr>
                <w:noProof/>
                <w:lang w:eastAsia="ja-JP"/>
              </w:rPr>
              <w:drawing>
                <wp:inline distT="0" distB="0" distL="0" distR="0" wp14:anchorId="14A2C5A9" wp14:editId="4385A4AF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0075D9" w14:textId="77777777" w:rsidR="00D058B8" w:rsidRPr="00BB482B" w:rsidRDefault="00D058B8" w:rsidP="004C5D52">
      <w:pPr>
        <w:pStyle w:val="LineTop"/>
      </w:pPr>
    </w:p>
    <w:p w14:paraId="3EB5C66C" w14:textId="58E6752A" w:rsidR="00680577" w:rsidRPr="00BB482B" w:rsidRDefault="003A5D3F" w:rsidP="00680577">
      <w:pPr>
        <w:pStyle w:val="EPBodyTA1"/>
      </w:pPr>
      <w:r w:rsidRPr="00BB482B">
        <w:t>ANTAGNA TEXTER</w:t>
      </w:r>
    </w:p>
    <w:p w14:paraId="5E89E6BD" w14:textId="77777777" w:rsidR="00D058B8" w:rsidRPr="00BB482B" w:rsidRDefault="00D058B8" w:rsidP="00D058B8">
      <w:pPr>
        <w:pStyle w:val="LineBottom"/>
      </w:pPr>
    </w:p>
    <w:p w14:paraId="159E4AE3" w14:textId="4352F52D" w:rsidR="003A5D3F" w:rsidRPr="00BB482B" w:rsidRDefault="003A5D3F" w:rsidP="003A5D3F">
      <w:pPr>
        <w:pStyle w:val="ATHeading1"/>
      </w:pPr>
      <w:bookmarkStart w:id="0" w:name="TANumber"/>
      <w:r w:rsidRPr="00BB482B">
        <w:t>P10_TA(2026)0</w:t>
      </w:r>
      <w:bookmarkEnd w:id="0"/>
      <w:r w:rsidR="00391660">
        <w:t>238</w:t>
      </w:r>
    </w:p>
    <w:p w14:paraId="409AD001" w14:textId="77777777" w:rsidR="003A5D3F" w:rsidRPr="00BB482B" w:rsidRDefault="003A5D3F" w:rsidP="003A5D3F">
      <w:pPr>
        <w:pStyle w:val="ATHeading2"/>
      </w:pPr>
      <w:bookmarkStart w:id="1" w:name="title"/>
      <w:r w:rsidRPr="00BB482B">
        <w:t>Flygpassagerares rättigheter</w:t>
      </w:r>
      <w:bookmarkEnd w:id="1"/>
    </w:p>
    <w:p w14:paraId="68DD6B3F" w14:textId="77777777" w:rsidR="003A5D3F" w:rsidRPr="00BB482B" w:rsidRDefault="003A5D3F" w:rsidP="003A5D3F">
      <w:pPr>
        <w:rPr>
          <w:i/>
          <w:vanish/>
        </w:rPr>
      </w:pPr>
      <w:r w:rsidRPr="00BB482B">
        <w:rPr>
          <w:i/>
        </w:rPr>
        <w:fldChar w:fldCharType="begin"/>
      </w:r>
      <w:r w:rsidRPr="00BB482B">
        <w:rPr>
          <w:i/>
        </w:rPr>
        <w:instrText xml:space="preserve"> TC"(</w:instrText>
      </w:r>
      <w:bookmarkStart w:id="2" w:name="DocNumber"/>
      <w:r w:rsidRPr="00BB482B">
        <w:rPr>
          <w:i/>
        </w:rPr>
        <w:instrText>A10-0191/2026</w:instrText>
      </w:r>
      <w:bookmarkEnd w:id="2"/>
      <w:r w:rsidRPr="00BB482B">
        <w:rPr>
          <w:i/>
        </w:rPr>
        <w:instrText xml:space="preserve"> - Föredragande: Roberta </w:instrText>
      </w:r>
      <w:proofErr w:type="spellStart"/>
      <w:r w:rsidRPr="00BB482B">
        <w:rPr>
          <w:i/>
        </w:rPr>
        <w:instrText>Metsola</w:instrText>
      </w:r>
      <w:proofErr w:type="spellEnd"/>
      <w:r w:rsidRPr="00BB482B">
        <w:rPr>
          <w:i/>
        </w:rPr>
        <w:instrText xml:space="preserve">)"\l3 \n&gt; \* MERGEFORMAT </w:instrText>
      </w:r>
      <w:r w:rsidRPr="00BB482B">
        <w:rPr>
          <w:i/>
        </w:rPr>
        <w:fldChar w:fldCharType="end"/>
      </w:r>
    </w:p>
    <w:p w14:paraId="675E62F6" w14:textId="77777777" w:rsidR="003A5D3F" w:rsidRPr="00BB482B" w:rsidRDefault="003A5D3F" w:rsidP="003A5D3F">
      <w:pPr>
        <w:rPr>
          <w:vanish/>
        </w:rPr>
      </w:pPr>
      <w:bookmarkStart w:id="3" w:name="Commission"/>
      <w:r w:rsidRPr="00BB482B">
        <w:rPr>
          <w:vanish/>
        </w:rPr>
        <w:t>Europaparlamentets delegation till förlikningskommittén</w:t>
      </w:r>
      <w:bookmarkEnd w:id="3"/>
    </w:p>
    <w:p w14:paraId="5A00F89A" w14:textId="77777777" w:rsidR="003A5D3F" w:rsidRPr="00BB482B" w:rsidRDefault="003A5D3F" w:rsidP="003A5D3F">
      <w:pPr>
        <w:rPr>
          <w:vanish/>
        </w:rPr>
      </w:pPr>
      <w:bookmarkStart w:id="4" w:name="PE"/>
      <w:r w:rsidRPr="00BB482B">
        <w:rPr>
          <w:vanish/>
        </w:rPr>
        <w:t>PE790.161</w:t>
      </w:r>
      <w:bookmarkEnd w:id="4"/>
    </w:p>
    <w:p w14:paraId="6D452F7C" w14:textId="0F101327" w:rsidR="003A5D3F" w:rsidRPr="00BB482B" w:rsidRDefault="003A5D3F" w:rsidP="003A5D3F">
      <w:pPr>
        <w:pStyle w:val="ATHeading3"/>
      </w:pPr>
      <w:bookmarkStart w:id="5" w:name="Sujet"/>
      <w:r w:rsidRPr="00BB482B">
        <w:t xml:space="preserve">Europaparlamentets lagstiftningsresolution av den </w:t>
      </w:r>
      <w:r w:rsidR="00971942" w:rsidRPr="00BB482B">
        <w:t>7 juli</w:t>
      </w:r>
      <w:r w:rsidRPr="00BB482B">
        <w:t xml:space="preserve"> 2026 om förlikningskommitténs gemensamma utkast till Europaparlamentets och rådets förordning om ändring av förordning (EG) nr 261/2004 om fastställande av gemensamma regler om kompensation och assistans till passagerare vid nekad ombordstigning och inställda eller kraftigt försenade flygningar och ändring av förordning (EG) nr 2027/97 om lufttrafikföretags skadeståndsansvar avseende lufttransport av passagerare och deras bagage</w:t>
      </w:r>
      <w:bookmarkEnd w:id="5"/>
      <w:r w:rsidRPr="00BB482B">
        <w:t xml:space="preserve"> </w:t>
      </w:r>
      <w:bookmarkStart w:id="6" w:name="References"/>
      <w:r w:rsidRPr="00BB482B">
        <w:t>(PE-CONS 00039/2026 – C10-0144/2026 – 2013/0072(COD))</w:t>
      </w:r>
      <w:bookmarkEnd w:id="6"/>
    </w:p>
    <w:p w14:paraId="7F313CE4" w14:textId="77777777" w:rsidR="00325C52" w:rsidRPr="00BB482B" w:rsidRDefault="00325C52" w:rsidP="00325C52">
      <w:pPr>
        <w:pStyle w:val="NormalBold"/>
      </w:pPr>
      <w:r w:rsidRPr="00BB482B">
        <w:t>(Ordinarie lagstiftningsförfarande: tredje behandlingen)</w:t>
      </w:r>
    </w:p>
    <w:p w14:paraId="1EF9F3BC" w14:textId="77777777" w:rsidR="00325C52" w:rsidRPr="00BB482B" w:rsidRDefault="00325C52" w:rsidP="00325C52">
      <w:pPr>
        <w:pStyle w:val="EPComma"/>
      </w:pPr>
      <w:r w:rsidRPr="00BB482B">
        <w:rPr>
          <w:i/>
        </w:rPr>
        <w:t>Europaparlamentet utfärdar denna resolution</w:t>
      </w:r>
    </w:p>
    <w:p w14:paraId="76084557" w14:textId="77777777" w:rsidR="00325C52" w:rsidRPr="00BB482B" w:rsidRDefault="00325C52" w:rsidP="00325C52">
      <w:pPr>
        <w:pStyle w:val="NormalHanging12a"/>
      </w:pPr>
      <w:r w:rsidRPr="00BB482B">
        <w:t>–</w:t>
      </w:r>
      <w:r w:rsidRPr="00BB482B">
        <w:tab/>
        <w:t>med beaktande av förlikningskommitténs gemensamma utkast (PE-CONS 00039/2026 – C10</w:t>
      </w:r>
      <w:r w:rsidRPr="00BB482B">
        <w:noBreakHyphen/>
        <w:t>0144/2026),</w:t>
      </w:r>
    </w:p>
    <w:p w14:paraId="365916D6" w14:textId="77777777" w:rsidR="00325C52" w:rsidRPr="00BB482B" w:rsidRDefault="00325C52" w:rsidP="00325C52">
      <w:pPr>
        <w:pStyle w:val="NormalHanging12a"/>
      </w:pPr>
      <w:r w:rsidRPr="00BB482B">
        <w:t>–</w:t>
      </w:r>
      <w:r w:rsidRPr="00BB482B">
        <w:tab/>
        <w:t>med beaktande av Europeiska ekonomiska och sociala kommitténs yttrande av den 11 juli 2013</w:t>
      </w:r>
      <w:r w:rsidRPr="00BB482B">
        <w:rPr>
          <w:rStyle w:val="FootnoteReference"/>
        </w:rPr>
        <w:footnoteReference w:id="1"/>
      </w:r>
      <w:r w:rsidRPr="00BB482B">
        <w:t>,</w:t>
      </w:r>
    </w:p>
    <w:p w14:paraId="21FAA5B4" w14:textId="20BC53F2" w:rsidR="00971942" w:rsidRPr="00BB482B" w:rsidRDefault="00971942" w:rsidP="00325C52">
      <w:pPr>
        <w:pStyle w:val="NormalHanging12a"/>
      </w:pPr>
      <w:r w:rsidRPr="00BB482B">
        <w:t>–</w:t>
      </w:r>
      <w:r w:rsidRPr="00BB482B">
        <w:tab/>
        <w:t>efter att ha hört Regionkommittén,</w:t>
      </w:r>
    </w:p>
    <w:p w14:paraId="12CDEFE1" w14:textId="77777777" w:rsidR="00325C52" w:rsidRPr="00BB482B" w:rsidRDefault="00325C52" w:rsidP="00325C52">
      <w:pPr>
        <w:pStyle w:val="NormalHanging12a"/>
      </w:pPr>
      <w:r w:rsidRPr="00BB482B">
        <w:t>–</w:t>
      </w:r>
      <w:r w:rsidRPr="00BB482B">
        <w:tab/>
        <w:t>med beaktande av sin ståndpunkt vid första behandlingen av ärendet</w:t>
      </w:r>
      <w:r w:rsidRPr="00BB482B">
        <w:rPr>
          <w:rStyle w:val="FootnoteReference"/>
        </w:rPr>
        <w:footnoteReference w:id="2"/>
      </w:r>
      <w:r w:rsidRPr="00BB482B">
        <w:t>, en behandling som avsåg kommissionens förslag till Europaparlamentet och rådet (COM(2013)0130),</w:t>
      </w:r>
    </w:p>
    <w:p w14:paraId="01783FF1" w14:textId="77777777" w:rsidR="00325C52" w:rsidRPr="00BB482B" w:rsidRDefault="00325C52" w:rsidP="00325C52">
      <w:pPr>
        <w:pStyle w:val="NormalHanging12a"/>
      </w:pPr>
      <w:r w:rsidRPr="00BB482B">
        <w:t>–</w:t>
      </w:r>
      <w:r w:rsidRPr="00BB482B">
        <w:tab/>
        <w:t>med beaktande av sin ståndpunkt vid andra behandlingen av ärendet</w:t>
      </w:r>
      <w:r w:rsidRPr="00BB482B">
        <w:rPr>
          <w:rStyle w:val="FootnoteReference"/>
        </w:rPr>
        <w:footnoteReference w:id="3"/>
      </w:r>
      <w:r w:rsidRPr="00BB482B">
        <w:t xml:space="preserve">, en behandling </w:t>
      </w:r>
      <w:r w:rsidRPr="00BB482B">
        <w:lastRenderedPageBreak/>
        <w:t>som avsåg rådets ståndpunkt vid första behandlingen</w:t>
      </w:r>
      <w:r w:rsidRPr="00BB482B">
        <w:rPr>
          <w:rStyle w:val="FootnoteReference"/>
        </w:rPr>
        <w:footnoteReference w:id="4"/>
      </w:r>
      <w:r w:rsidRPr="00BB482B">
        <w:t>,</w:t>
      </w:r>
    </w:p>
    <w:p w14:paraId="7D39B2AD" w14:textId="77777777" w:rsidR="00325C52" w:rsidRPr="00BB482B" w:rsidRDefault="00325C52" w:rsidP="00325C52">
      <w:pPr>
        <w:pStyle w:val="NormalHanging12a"/>
      </w:pPr>
      <w:r w:rsidRPr="00BB482B">
        <w:t>–</w:t>
      </w:r>
      <w:r w:rsidRPr="00BB482B">
        <w:tab/>
        <w:t>med beaktande av kommissionens yttrande över parlamentets ändringar i rådets ståndpunkt vid första behandlingen (COM(2026)0129),</w:t>
      </w:r>
    </w:p>
    <w:p w14:paraId="2988848C" w14:textId="77777777" w:rsidR="00325C52" w:rsidRPr="00BB482B" w:rsidRDefault="00325C52" w:rsidP="00325C52">
      <w:pPr>
        <w:pStyle w:val="NormalHanging12a"/>
      </w:pPr>
      <w:r w:rsidRPr="00BB482B">
        <w:t>–</w:t>
      </w:r>
      <w:r w:rsidRPr="00BB482B">
        <w:tab/>
        <w:t>med beaktande av rådets ståndpunkt vid andra behandlingen,</w:t>
      </w:r>
    </w:p>
    <w:p w14:paraId="7551AAE0" w14:textId="77777777" w:rsidR="00325C52" w:rsidRPr="00BB482B" w:rsidRDefault="00325C52" w:rsidP="00325C52">
      <w:pPr>
        <w:pStyle w:val="NormalHanging12a"/>
      </w:pPr>
      <w:r w:rsidRPr="00BB482B">
        <w:t>–</w:t>
      </w:r>
      <w:r w:rsidRPr="00BB482B">
        <w:tab/>
        <w:t>med beaktande av artikel 294.13 i fördraget om Europeiska unionens funktionssätt,</w:t>
      </w:r>
    </w:p>
    <w:p w14:paraId="5915402B" w14:textId="77777777" w:rsidR="00325C52" w:rsidRPr="00BB482B" w:rsidRDefault="00325C52" w:rsidP="00325C52">
      <w:pPr>
        <w:pStyle w:val="NormalHanging12a"/>
      </w:pPr>
      <w:r w:rsidRPr="00BB482B">
        <w:t>–</w:t>
      </w:r>
      <w:r w:rsidRPr="00BB482B">
        <w:tab/>
        <w:t>med beaktande av artikel 79 i arbetsordningen,</w:t>
      </w:r>
    </w:p>
    <w:p w14:paraId="1F4BA7EF" w14:textId="77777777" w:rsidR="00325C52" w:rsidRPr="00BB482B" w:rsidRDefault="00325C52" w:rsidP="00325C52">
      <w:pPr>
        <w:pStyle w:val="NormalHanging12a"/>
      </w:pPr>
      <w:r w:rsidRPr="00BB482B">
        <w:t>–</w:t>
      </w:r>
      <w:r w:rsidRPr="00BB482B">
        <w:tab/>
        <w:t>med beaktande av betänkandet från parlamentets delegation till förlikningskommittén (A10-0191/2026).</w:t>
      </w:r>
    </w:p>
    <w:p w14:paraId="34764E65" w14:textId="77777777" w:rsidR="00325C52" w:rsidRPr="00BB482B" w:rsidRDefault="00325C52" w:rsidP="00325C52">
      <w:pPr>
        <w:pStyle w:val="NormalHanging12a"/>
      </w:pPr>
      <w:r w:rsidRPr="00BB482B">
        <w:t>1.</w:t>
      </w:r>
      <w:r w:rsidRPr="00BB482B">
        <w:tab/>
        <w:t>Europaparlamentet godkänner det gemensamma utkastet.</w:t>
      </w:r>
    </w:p>
    <w:p w14:paraId="39AA58FA" w14:textId="77777777" w:rsidR="00325C52" w:rsidRPr="00BB482B" w:rsidRDefault="00325C52" w:rsidP="00325C52">
      <w:pPr>
        <w:pStyle w:val="NormalHanging12a"/>
        <w:widowControl/>
      </w:pPr>
      <w:r w:rsidRPr="00BB482B">
        <w:t>2.</w:t>
      </w:r>
      <w:r w:rsidRPr="00BB482B">
        <w:tab/>
        <w:t>Europaparlamentet uppdrar åt talmannen att tillsammans med rådets ordförande underteckna akten i enlighet med artikel 297.1 i fördraget om Europeiska unionens funktionssätt.</w:t>
      </w:r>
    </w:p>
    <w:p w14:paraId="572431F4" w14:textId="77777777" w:rsidR="00325C52" w:rsidRPr="00BB482B" w:rsidRDefault="00325C52" w:rsidP="00325C52">
      <w:pPr>
        <w:pStyle w:val="NormalHanging12a"/>
      </w:pPr>
      <w:r w:rsidRPr="00BB482B">
        <w:t>3.</w:t>
      </w:r>
      <w:r w:rsidRPr="00BB482B">
        <w:tab/>
        <w:t xml:space="preserve">Europaparlamentet uppdrar åt sin generalsekreterare att, när det har kontrollerats att alla förfaranden vederbörligen avslutats, underteckna akten och i samförstånd med rådets generalsekreterare se till att den offentliggörs i </w:t>
      </w:r>
      <w:r w:rsidRPr="00BB482B">
        <w:rPr>
          <w:i/>
          <w:iCs/>
        </w:rPr>
        <w:t>Europeiska unionens officiella tidning</w:t>
      </w:r>
      <w:r w:rsidRPr="00BB482B">
        <w:t>.</w:t>
      </w:r>
    </w:p>
    <w:p w14:paraId="31F5B458" w14:textId="76305D61" w:rsidR="00E365E1" w:rsidRPr="00BB482B" w:rsidRDefault="00325C52" w:rsidP="00BB482B">
      <w:pPr>
        <w:pStyle w:val="NormalHanging12a"/>
      </w:pPr>
      <w:r w:rsidRPr="00BB482B">
        <w:t>4.</w:t>
      </w:r>
      <w:r w:rsidRPr="00BB482B">
        <w:tab/>
        <w:t>Europaparlamentet uppdrar åt talmannen att översända denna lagstiftningsresolution till rådet, kommissionen och de nationella parlamenten.</w:t>
      </w:r>
    </w:p>
    <w:sectPr w:rsidR="00E365E1" w:rsidRPr="00BB482B" w:rsidSect="007978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B6770" w14:textId="77777777" w:rsidR="003A5D3F" w:rsidRPr="00797885" w:rsidRDefault="003A5D3F">
      <w:r w:rsidRPr="00797885">
        <w:separator/>
      </w:r>
    </w:p>
  </w:endnote>
  <w:endnote w:type="continuationSeparator" w:id="0">
    <w:p w14:paraId="30C7EF1A" w14:textId="77777777" w:rsidR="003A5D3F" w:rsidRPr="00797885" w:rsidRDefault="003A5D3F">
      <w:r w:rsidRPr="007978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8D95F" w14:textId="77777777" w:rsidR="00064002" w:rsidRPr="00797885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17A81" w14:textId="77777777" w:rsidR="00064002" w:rsidRPr="00797885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60940" w14:textId="77777777" w:rsidR="00064002" w:rsidRPr="0079788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22944" w14:textId="77777777" w:rsidR="003A5D3F" w:rsidRPr="00797885" w:rsidRDefault="003A5D3F">
      <w:r w:rsidRPr="00797885">
        <w:separator/>
      </w:r>
    </w:p>
  </w:footnote>
  <w:footnote w:type="continuationSeparator" w:id="0">
    <w:p w14:paraId="414FE0DB" w14:textId="77777777" w:rsidR="003A5D3F" w:rsidRPr="00797885" w:rsidRDefault="003A5D3F">
      <w:r w:rsidRPr="00797885">
        <w:continuationSeparator/>
      </w:r>
    </w:p>
  </w:footnote>
  <w:footnote w:id="1">
    <w:p w14:paraId="4A9EC176" w14:textId="044EB384" w:rsidR="00325C52" w:rsidRPr="00391660" w:rsidRDefault="00325C52" w:rsidP="00797885">
      <w:pPr>
        <w:pStyle w:val="FootnoteText"/>
        <w:ind w:left="567" w:hanging="567"/>
        <w:rPr>
          <w:sz w:val="24"/>
          <w:lang w:val="fi-FI"/>
        </w:rPr>
      </w:pPr>
      <w:r w:rsidRPr="00797885">
        <w:rPr>
          <w:rStyle w:val="FootnoteReference"/>
          <w:sz w:val="24"/>
          <w:lang w:val="sv-SE"/>
        </w:rPr>
        <w:footnoteRef/>
      </w:r>
      <w:r w:rsidR="00797885" w:rsidRPr="00391660">
        <w:rPr>
          <w:sz w:val="24"/>
          <w:lang w:val="fi-FI"/>
        </w:rPr>
        <w:t xml:space="preserve"> </w:t>
      </w:r>
      <w:r w:rsidR="00797885" w:rsidRPr="00391660">
        <w:rPr>
          <w:sz w:val="24"/>
          <w:lang w:val="fi-FI"/>
        </w:rPr>
        <w:tab/>
      </w:r>
      <w:r w:rsidRPr="00391660">
        <w:rPr>
          <w:sz w:val="24"/>
          <w:lang w:val="fi-FI"/>
        </w:rPr>
        <w:t xml:space="preserve">EUT C 327, 12.11.2013, ELI: </w:t>
      </w:r>
      <w:hyperlink r:id="rId1" w:history="1">
        <w:r w:rsidRPr="00391660">
          <w:rPr>
            <w:rStyle w:val="Hyperlink"/>
            <w:sz w:val="24"/>
            <w:lang w:val="fi-FI"/>
          </w:rPr>
          <w:t>https://eur-lex.europa.eu/legal-content/en/TXT/?uri=celex:52013AE2576</w:t>
        </w:r>
      </w:hyperlink>
      <w:r w:rsidRPr="00391660">
        <w:rPr>
          <w:sz w:val="24"/>
          <w:lang w:val="fi-FI"/>
        </w:rPr>
        <w:t>.</w:t>
      </w:r>
    </w:p>
  </w:footnote>
  <w:footnote w:id="2">
    <w:p w14:paraId="4770B6DD" w14:textId="4E2F4963" w:rsidR="00325C52" w:rsidRPr="00391660" w:rsidRDefault="00325C52" w:rsidP="00797885">
      <w:pPr>
        <w:pStyle w:val="FootnoteText"/>
        <w:ind w:left="567" w:hanging="567"/>
        <w:rPr>
          <w:sz w:val="24"/>
          <w:lang w:val="fr-BE"/>
        </w:rPr>
      </w:pPr>
      <w:r w:rsidRPr="00797885">
        <w:rPr>
          <w:rStyle w:val="FootnoteReference"/>
          <w:sz w:val="24"/>
          <w:lang w:val="sv-SE"/>
        </w:rPr>
        <w:footnoteRef/>
      </w:r>
      <w:r w:rsidR="00797885" w:rsidRPr="00391660">
        <w:rPr>
          <w:sz w:val="24"/>
          <w:lang w:val="fr-BE"/>
        </w:rPr>
        <w:t xml:space="preserve"> </w:t>
      </w:r>
      <w:r w:rsidR="00797885" w:rsidRPr="00391660">
        <w:rPr>
          <w:sz w:val="24"/>
          <w:lang w:val="fr-BE"/>
        </w:rPr>
        <w:tab/>
      </w:r>
      <w:r w:rsidRPr="00391660">
        <w:rPr>
          <w:sz w:val="24"/>
          <w:lang w:val="fr-BE"/>
        </w:rPr>
        <w:t xml:space="preserve">EUT C 93, 24.3.2017, ELI: </w:t>
      </w:r>
      <w:hyperlink r:id="rId2" w:history="1">
        <w:r w:rsidRPr="00391660">
          <w:rPr>
            <w:rStyle w:val="Hyperlink"/>
            <w:sz w:val="24"/>
            <w:lang w:val="fr-BE"/>
          </w:rPr>
          <w:t>https://eur-lex.europa.eu/legal-content/EN/TXT/?uri=celex%3A52014AP0092</w:t>
        </w:r>
      </w:hyperlink>
      <w:r w:rsidRPr="00391660">
        <w:rPr>
          <w:sz w:val="24"/>
          <w:lang w:val="fr-BE"/>
        </w:rPr>
        <w:t xml:space="preserve">/Texts </w:t>
      </w:r>
      <w:proofErr w:type="spellStart"/>
      <w:r w:rsidRPr="00391660">
        <w:rPr>
          <w:sz w:val="24"/>
          <w:lang w:val="fr-BE"/>
        </w:rPr>
        <w:t>adopted</w:t>
      </w:r>
      <w:proofErr w:type="spellEnd"/>
      <w:r w:rsidRPr="00391660">
        <w:rPr>
          <w:sz w:val="24"/>
          <w:lang w:val="fr-BE"/>
        </w:rPr>
        <w:t xml:space="preserve"> 5.2.2014, P7_TA(2014)0092.</w:t>
      </w:r>
    </w:p>
  </w:footnote>
  <w:footnote w:id="3">
    <w:p w14:paraId="4A2424CF" w14:textId="535EF2D3" w:rsidR="00325C52" w:rsidRPr="00797885" w:rsidRDefault="00325C52" w:rsidP="00797885">
      <w:pPr>
        <w:pStyle w:val="FootnoteText"/>
        <w:ind w:left="567" w:hanging="567"/>
        <w:rPr>
          <w:sz w:val="24"/>
          <w:lang w:val="sv-SE"/>
        </w:rPr>
      </w:pPr>
      <w:r w:rsidRPr="00797885">
        <w:rPr>
          <w:rStyle w:val="FootnoteReference"/>
          <w:sz w:val="24"/>
          <w:lang w:val="sv-SE"/>
        </w:rPr>
        <w:footnoteRef/>
      </w:r>
      <w:r w:rsidR="00797885" w:rsidRPr="00797885">
        <w:rPr>
          <w:sz w:val="24"/>
          <w:lang w:val="sv-SE"/>
        </w:rPr>
        <w:t xml:space="preserve"> </w:t>
      </w:r>
      <w:r w:rsidR="00797885" w:rsidRPr="00797885">
        <w:rPr>
          <w:sz w:val="24"/>
          <w:lang w:val="sv-SE"/>
        </w:rPr>
        <w:tab/>
      </w:r>
      <w:r w:rsidRPr="00797885">
        <w:rPr>
          <w:sz w:val="24"/>
          <w:lang w:val="sv-SE"/>
        </w:rPr>
        <w:t>Antagna texter 21.1.2026, P10_TA(2026)0009.</w:t>
      </w:r>
    </w:p>
  </w:footnote>
  <w:footnote w:id="4">
    <w:p w14:paraId="67A501F2" w14:textId="33B44643" w:rsidR="00325C52" w:rsidRPr="00797885" w:rsidRDefault="00325C52" w:rsidP="00797885">
      <w:pPr>
        <w:pStyle w:val="FootnoteText"/>
        <w:ind w:left="567" w:hanging="567"/>
        <w:rPr>
          <w:sz w:val="24"/>
          <w:lang w:val="sv-SE"/>
        </w:rPr>
      </w:pPr>
      <w:r w:rsidRPr="00797885">
        <w:rPr>
          <w:rStyle w:val="FootnoteReference"/>
          <w:sz w:val="24"/>
          <w:lang w:val="sv-SE"/>
        </w:rPr>
        <w:footnoteRef/>
      </w:r>
      <w:r w:rsidR="00797885" w:rsidRPr="00797885">
        <w:rPr>
          <w:sz w:val="24"/>
          <w:lang w:val="sv-SE"/>
        </w:rPr>
        <w:t xml:space="preserve"> </w:t>
      </w:r>
      <w:r w:rsidR="00797885" w:rsidRPr="00797885">
        <w:rPr>
          <w:sz w:val="24"/>
          <w:lang w:val="sv-SE"/>
        </w:rPr>
        <w:tab/>
      </w:r>
      <w:r w:rsidRPr="00797885">
        <w:rPr>
          <w:sz w:val="24"/>
          <w:lang w:val="sv-SE"/>
        </w:rPr>
        <w:t xml:space="preserve">EUT C, C/2025/5782, 30.10.2025, ELI: </w:t>
      </w:r>
      <w:hyperlink r:id="rId3" w:history="1">
        <w:r w:rsidRPr="00797885">
          <w:rPr>
            <w:rStyle w:val="Hyperlink"/>
            <w:sz w:val="24"/>
            <w:lang w:val="sv-SE"/>
          </w:rPr>
          <w:t>https://eur-lex.europa.eu/legal-content/EN/TXT/?uri=celex%3A52025AG0010%2801%29</w:t>
        </w:r>
      </w:hyperlink>
      <w:r w:rsidRPr="00797885">
        <w:rPr>
          <w:sz w:val="24"/>
          <w:lang w:val="sv-S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BB65B" w14:textId="77777777" w:rsidR="00064002" w:rsidRPr="0079788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2086C" w14:textId="77777777" w:rsidR="00064002" w:rsidRPr="0079788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AAD76" w14:textId="77777777" w:rsidR="00064002" w:rsidRPr="0079788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840806254">
    <w:abstractNumId w:val="9"/>
  </w:num>
  <w:num w:numId="2" w16cid:durableId="1650859442">
    <w:abstractNumId w:val="9"/>
  </w:num>
  <w:num w:numId="3" w16cid:durableId="981891350">
    <w:abstractNumId w:val="7"/>
  </w:num>
  <w:num w:numId="4" w16cid:durableId="805010167">
    <w:abstractNumId w:val="7"/>
  </w:num>
  <w:num w:numId="5" w16cid:durableId="72289489">
    <w:abstractNumId w:val="6"/>
  </w:num>
  <w:num w:numId="6" w16cid:durableId="1269196209">
    <w:abstractNumId w:val="6"/>
  </w:num>
  <w:num w:numId="7" w16cid:durableId="1478033485">
    <w:abstractNumId w:val="5"/>
  </w:num>
  <w:num w:numId="8" w16cid:durableId="1341932982">
    <w:abstractNumId w:val="5"/>
  </w:num>
  <w:num w:numId="9" w16cid:durableId="1970671033">
    <w:abstractNumId w:val="4"/>
  </w:num>
  <w:num w:numId="10" w16cid:durableId="639768279">
    <w:abstractNumId w:val="4"/>
  </w:num>
  <w:num w:numId="11" w16cid:durableId="953093360">
    <w:abstractNumId w:val="8"/>
  </w:num>
  <w:num w:numId="12" w16cid:durableId="1358652814">
    <w:abstractNumId w:val="8"/>
  </w:num>
  <w:num w:numId="13" w16cid:durableId="1937395233">
    <w:abstractNumId w:val="3"/>
  </w:num>
  <w:num w:numId="14" w16cid:durableId="1602910797">
    <w:abstractNumId w:val="3"/>
  </w:num>
  <w:num w:numId="15" w16cid:durableId="2012105240">
    <w:abstractNumId w:val="2"/>
  </w:num>
  <w:num w:numId="16" w16cid:durableId="1822236729">
    <w:abstractNumId w:val="2"/>
  </w:num>
  <w:num w:numId="17" w16cid:durableId="2007515952">
    <w:abstractNumId w:val="1"/>
  </w:num>
  <w:num w:numId="18" w16cid:durableId="611128148">
    <w:abstractNumId w:val="1"/>
  </w:num>
  <w:num w:numId="19" w16cid:durableId="1209144895">
    <w:abstractNumId w:val="0"/>
  </w:num>
  <w:num w:numId="20" w16cid:durableId="112211910">
    <w:abstractNumId w:val="0"/>
  </w:num>
  <w:num w:numId="21" w16cid:durableId="1176850097">
    <w:abstractNumId w:val="9"/>
  </w:num>
  <w:num w:numId="22" w16cid:durableId="1547982299">
    <w:abstractNumId w:val="7"/>
  </w:num>
  <w:num w:numId="23" w16cid:durableId="250311433">
    <w:abstractNumId w:val="6"/>
  </w:num>
  <w:num w:numId="24" w16cid:durableId="1493252658">
    <w:abstractNumId w:val="5"/>
  </w:num>
  <w:num w:numId="25" w16cid:durableId="125660588">
    <w:abstractNumId w:val="4"/>
  </w:num>
  <w:num w:numId="26" w16cid:durableId="258955634">
    <w:abstractNumId w:val="8"/>
  </w:num>
  <w:num w:numId="27" w16cid:durableId="1119761819">
    <w:abstractNumId w:val="3"/>
  </w:num>
  <w:num w:numId="28" w16cid:durableId="1226338801">
    <w:abstractNumId w:val="2"/>
  </w:num>
  <w:num w:numId="29" w16cid:durableId="217861719">
    <w:abstractNumId w:val="1"/>
  </w:num>
  <w:num w:numId="30" w16cid:durableId="1365668625">
    <w:abstractNumId w:val="0"/>
  </w:num>
  <w:num w:numId="31" w16cid:durableId="381490147">
    <w:abstractNumId w:val="9"/>
  </w:num>
  <w:num w:numId="32" w16cid:durableId="1023171700">
    <w:abstractNumId w:val="7"/>
  </w:num>
  <w:num w:numId="33" w16cid:durableId="474878884">
    <w:abstractNumId w:val="6"/>
  </w:num>
  <w:num w:numId="34" w16cid:durableId="362483989">
    <w:abstractNumId w:val="5"/>
  </w:num>
  <w:num w:numId="35" w16cid:durableId="311108193">
    <w:abstractNumId w:val="4"/>
  </w:num>
  <w:num w:numId="36" w16cid:durableId="354234385">
    <w:abstractNumId w:val="8"/>
  </w:num>
  <w:num w:numId="37" w16cid:durableId="1263492660">
    <w:abstractNumId w:val="3"/>
  </w:num>
  <w:num w:numId="38" w16cid:durableId="1202328714">
    <w:abstractNumId w:val="2"/>
  </w:num>
  <w:num w:numId="39" w16cid:durableId="1150173229">
    <w:abstractNumId w:val="1"/>
  </w:num>
  <w:num w:numId="40" w16cid:durableId="1150828992">
    <w:abstractNumId w:val="0"/>
  </w:num>
  <w:num w:numId="41" w16cid:durableId="1572079853">
    <w:abstractNumId w:val="10"/>
  </w:num>
  <w:num w:numId="42" w16cid:durableId="403112054">
    <w:abstractNumId w:val="10"/>
  </w:num>
  <w:num w:numId="43" w16cid:durableId="1619486670">
    <w:abstractNumId w:val="10"/>
  </w:num>
  <w:num w:numId="44" w16cid:durableId="15744616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91/2026"/>
    <w:docVar w:name="dvlangue" w:val="SV"/>
    <w:docVar w:name="dvnumam" w:val="0"/>
    <w:docVar w:name="dvpe" w:val="790.161"/>
    <w:docVar w:name="dvrapporteur" w:val="Föredragande: "/>
    <w:docVar w:name="dvstar" w:val="***III"/>
    <w:docVar w:name="dvtitre" w:val="Europaparlamentets lagstiftningsresolution av den xx xx 2026 om förlikningskommitténs gemensamma utkast till Europaparlamentets och rådets förordning om ändring av förordning (EG) nr 261/2004 om fastställande av gemensamma regler om kompensation och assistans till passagerare vid nekad ombordstigning och inställda eller kraftigt försenade flygningar och ändring av förordning (EG) nr 2027/97 om lufttrafikföretags skadeståndsansvar avseende lufttransport av passagerare och deras bagage(PE-CONS 00039/2026 – C10-0144/2026 – 2013/0072(COD))"/>
  </w:docVars>
  <w:rsids>
    <w:rsidRoot w:val="003A5D3F"/>
    <w:rsid w:val="00002272"/>
    <w:rsid w:val="000312E1"/>
    <w:rsid w:val="00064002"/>
    <w:rsid w:val="000677B9"/>
    <w:rsid w:val="000831BA"/>
    <w:rsid w:val="000A42CC"/>
    <w:rsid w:val="000E7DD9"/>
    <w:rsid w:val="0010095E"/>
    <w:rsid w:val="0011519E"/>
    <w:rsid w:val="00125B37"/>
    <w:rsid w:val="00187494"/>
    <w:rsid w:val="001C7A58"/>
    <w:rsid w:val="001F32AE"/>
    <w:rsid w:val="002767FF"/>
    <w:rsid w:val="002B18FE"/>
    <w:rsid w:val="002B5493"/>
    <w:rsid w:val="00325C52"/>
    <w:rsid w:val="00343214"/>
    <w:rsid w:val="00361C00"/>
    <w:rsid w:val="00391660"/>
    <w:rsid w:val="00395FA1"/>
    <w:rsid w:val="003A5D3F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97885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71942"/>
    <w:rsid w:val="00981893"/>
    <w:rsid w:val="00A1687D"/>
    <w:rsid w:val="00A31597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B482B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D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B4B2B7"/>
  <w15:chartTrackingRefBased/>
  <w15:docId w15:val="{FF775E25-1D38-4EC5-BDCC-40DB6323E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325C52"/>
    <w:pPr>
      <w:spacing w:before="480" w:after="240"/>
    </w:pPr>
  </w:style>
  <w:style w:type="paragraph" w:customStyle="1" w:styleId="PageHeading">
    <w:name w:val="PageHeading"/>
    <w:basedOn w:val="Normal"/>
    <w:rsid w:val="00325C5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325C52"/>
    <w:rPr>
      <w:b/>
    </w:rPr>
  </w:style>
  <w:style w:type="paragraph" w:customStyle="1" w:styleId="NormalBold12a">
    <w:name w:val="NormalBold12a"/>
    <w:basedOn w:val="Normal"/>
    <w:rsid w:val="00325C52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325C52"/>
    <w:pPr>
      <w:spacing w:after="240"/>
      <w:ind w:left="567" w:hanging="567"/>
    </w:pPr>
  </w:style>
  <w:style w:type="character" w:styleId="Hyperlink">
    <w:name w:val="Hyperlink"/>
    <w:basedOn w:val="DefaultParagraphFont"/>
    <w:rsid w:val="00325C5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9719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94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71942"/>
    <w:rPr>
      <w:lang w:val="sv-SE"/>
    </w:rPr>
  </w:style>
  <w:style w:type="paragraph" w:styleId="CommentSubject">
    <w:name w:val="annotation subject"/>
    <w:basedOn w:val="CommentText"/>
    <w:next w:val="CommentText"/>
    <w:link w:val="CommentSubjectChar"/>
    <w:rsid w:val="009719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942"/>
    <w:rPr>
      <w:b/>
      <w:bCs/>
      <w:lang w:val="sv-SE"/>
    </w:rPr>
  </w:style>
  <w:style w:type="paragraph" w:styleId="Revision">
    <w:name w:val="Revision"/>
    <w:hidden/>
    <w:uiPriority w:val="99"/>
    <w:semiHidden/>
    <w:rsid w:val="00971942"/>
    <w:rPr>
      <w:sz w:val="2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EN/TXT/?uri=celex%3A52025AG0010%2801%29" TargetMode="External"/><Relationship Id="rId2" Type="http://schemas.openxmlformats.org/officeDocument/2006/relationships/hyperlink" Target="https://eur-lex.europa.eu/legal-content/EN/TXT/?uri=celex%3A52014AP0092" TargetMode="External"/><Relationship Id="rId1" Type="http://schemas.openxmlformats.org/officeDocument/2006/relationships/hyperlink" Target="https://eur-lex.europa.eu/legal-content/en/TXT/?uri=celex:52013AE2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281</Words>
  <Characters>2209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ANDERSSON Terese</dc:creator>
  <cp:keywords/>
  <cp:lastModifiedBy>ANDERSSON Terese</cp:lastModifiedBy>
  <cp:revision>2</cp:revision>
  <cp:lastPrinted>2004-11-19T15:42:00Z</cp:lastPrinted>
  <dcterms:created xsi:type="dcterms:W3CDTF">2026-07-07T12:23:00Z</dcterms:created>
  <dcterms:modified xsi:type="dcterms:W3CDTF">2026-07-07T12:23:00Z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P10_TA-PROV(2026)0238_A10-0191_2026_SV_r</vt:lpwstr>
  </property>
  <property fmtid="{D5CDD505-2E9C-101B-9397-08002B2CF9AE}" pid="4" name="&lt;Type&gt;">
    <vt:lpwstr>RR</vt:lpwstr>
  </property>
</Properties>
</file>